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E0" w:rsidRPr="00D66855" w:rsidRDefault="000051E0" w:rsidP="000051E0">
      <w:pPr>
        <w:adjustRightInd w:val="0"/>
        <w:snapToGrid w:val="0"/>
        <w:spacing w:line="540" w:lineRule="exact"/>
        <w:rPr>
          <w:rFonts w:ascii="仿宋_GB2312" w:eastAsia="仿宋_GB2312" w:hint="eastAsia"/>
          <w:color w:val="000000"/>
          <w:spacing w:val="-10"/>
          <w:sz w:val="32"/>
          <w:szCs w:val="32"/>
        </w:rPr>
      </w:pPr>
      <w:r w:rsidRPr="00D66855">
        <w:rPr>
          <w:rFonts w:ascii="仿宋_GB2312" w:eastAsia="仿宋_GB2312" w:hint="eastAsia"/>
          <w:color w:val="000000"/>
          <w:spacing w:val="-10"/>
          <w:sz w:val="32"/>
          <w:szCs w:val="32"/>
        </w:rPr>
        <w:t>附件1：</w:t>
      </w:r>
    </w:p>
    <w:p w:rsidR="000051E0" w:rsidRDefault="000051E0" w:rsidP="000051E0">
      <w:pPr>
        <w:adjustRightInd w:val="0"/>
        <w:snapToGrid w:val="0"/>
        <w:spacing w:line="540" w:lineRule="exact"/>
        <w:jc w:val="center"/>
        <w:rPr>
          <w:rFonts w:eastAsia="方正小标宋简体" w:hint="eastAsia"/>
          <w:color w:val="000000"/>
          <w:spacing w:val="-10"/>
          <w:sz w:val="44"/>
          <w:szCs w:val="44"/>
        </w:rPr>
      </w:pPr>
      <w:r>
        <w:rPr>
          <w:rFonts w:eastAsia="方正小标宋简体" w:hint="eastAsia"/>
          <w:color w:val="000000"/>
          <w:spacing w:val="-10"/>
          <w:sz w:val="44"/>
          <w:szCs w:val="44"/>
        </w:rPr>
        <w:t>平罗县文化旅游广电局</w:t>
      </w:r>
      <w:r>
        <w:rPr>
          <w:rFonts w:eastAsia="方正小标宋简体"/>
          <w:color w:val="000000"/>
          <w:spacing w:val="-10"/>
          <w:sz w:val="44"/>
          <w:szCs w:val="44"/>
        </w:rPr>
        <w:t>扫黑除恶</w:t>
      </w:r>
    </w:p>
    <w:p w:rsidR="000051E0" w:rsidRDefault="000051E0" w:rsidP="000051E0">
      <w:pPr>
        <w:adjustRightInd w:val="0"/>
        <w:snapToGrid w:val="0"/>
        <w:spacing w:line="540" w:lineRule="exact"/>
        <w:jc w:val="center"/>
        <w:rPr>
          <w:rFonts w:eastAsia="仿宋_GB2312" w:hint="eastAsia"/>
          <w:color w:val="000000"/>
          <w:sz w:val="32"/>
          <w:szCs w:val="32"/>
        </w:rPr>
      </w:pPr>
      <w:r>
        <w:rPr>
          <w:rFonts w:eastAsia="方正小标宋简体"/>
          <w:color w:val="000000"/>
          <w:spacing w:val="-10"/>
          <w:sz w:val="44"/>
          <w:szCs w:val="44"/>
        </w:rPr>
        <w:t>专项斗争实施方案</w:t>
      </w:r>
    </w:p>
    <w:p w:rsidR="000051E0" w:rsidRDefault="000051E0" w:rsidP="000051E0">
      <w:pPr>
        <w:adjustRightInd w:val="0"/>
        <w:snapToGrid w:val="0"/>
        <w:spacing w:line="560" w:lineRule="exact"/>
        <w:rPr>
          <w:rFonts w:eastAsia="仿宋_GB2312" w:hint="eastAsia"/>
          <w:color w:val="000000"/>
          <w:sz w:val="32"/>
          <w:szCs w:val="32"/>
        </w:rPr>
      </w:pPr>
    </w:p>
    <w:p w:rsidR="000051E0" w:rsidRDefault="000051E0" w:rsidP="000051E0">
      <w:pPr>
        <w:adjustRightInd w:val="0"/>
        <w:snapToGrid w:val="0"/>
        <w:spacing w:line="560" w:lineRule="exact"/>
        <w:ind w:firstLineChars="200" w:firstLine="640"/>
        <w:rPr>
          <w:rFonts w:eastAsia="仿宋_GB2312" w:hint="eastAsia"/>
          <w:color w:val="000000"/>
          <w:sz w:val="32"/>
          <w:szCs w:val="32"/>
        </w:rPr>
      </w:pPr>
      <w:r>
        <w:rPr>
          <w:rFonts w:eastAsia="仿宋_GB2312" w:hint="eastAsia"/>
          <w:color w:val="000000"/>
          <w:sz w:val="32"/>
          <w:szCs w:val="32"/>
        </w:rPr>
        <w:t>为深入贯彻中央、区、市、县扫黑除恶专项斗争有关</w:t>
      </w:r>
      <w:r>
        <w:rPr>
          <w:rFonts w:eastAsia="仿宋_GB2312" w:hint="eastAsia"/>
          <w:sz w:val="32"/>
          <w:szCs w:val="32"/>
        </w:rPr>
        <w:t>精神，严厉打击涉</w:t>
      </w:r>
      <w:proofErr w:type="gramStart"/>
      <w:r>
        <w:rPr>
          <w:rFonts w:eastAsia="仿宋_GB2312" w:hint="eastAsia"/>
          <w:sz w:val="32"/>
          <w:szCs w:val="32"/>
        </w:rPr>
        <w:t>黑涉恶违法</w:t>
      </w:r>
      <w:proofErr w:type="gramEnd"/>
      <w:r>
        <w:rPr>
          <w:rFonts w:eastAsia="仿宋_GB2312" w:hint="eastAsia"/>
          <w:sz w:val="32"/>
          <w:szCs w:val="32"/>
        </w:rPr>
        <w:t>犯罪活动，净化社会治安环境，结合我局实际，制定本方案。</w:t>
      </w:r>
    </w:p>
    <w:p w:rsidR="000051E0" w:rsidRDefault="000051E0" w:rsidP="000051E0">
      <w:pPr>
        <w:numPr>
          <w:ilvl w:val="0"/>
          <w:numId w:val="1"/>
        </w:numPr>
        <w:adjustRightInd w:val="0"/>
        <w:snapToGrid w:val="0"/>
        <w:spacing w:line="560" w:lineRule="exact"/>
        <w:ind w:firstLineChars="200" w:firstLine="640"/>
        <w:rPr>
          <w:rFonts w:eastAsia="黑体"/>
          <w:color w:val="000000"/>
          <w:sz w:val="32"/>
          <w:szCs w:val="32"/>
        </w:rPr>
      </w:pPr>
      <w:r>
        <w:rPr>
          <w:rFonts w:eastAsia="黑体"/>
          <w:color w:val="000000"/>
          <w:sz w:val="32"/>
          <w:szCs w:val="32"/>
        </w:rPr>
        <w:t>指导思想</w:t>
      </w:r>
    </w:p>
    <w:p w:rsidR="000051E0" w:rsidRDefault="000051E0" w:rsidP="000051E0">
      <w:pPr>
        <w:widowControl/>
        <w:adjustRightInd w:val="0"/>
        <w:snapToGrid w:val="0"/>
        <w:spacing w:line="560" w:lineRule="exact"/>
        <w:ind w:firstLineChars="200" w:firstLine="640"/>
        <w:rPr>
          <w:rFonts w:eastAsia="仿宋_GB2312"/>
          <w:sz w:val="32"/>
          <w:szCs w:val="32"/>
        </w:rPr>
      </w:pPr>
      <w:r>
        <w:rPr>
          <w:rFonts w:eastAsia="仿宋_GB2312"/>
          <w:color w:val="000000"/>
          <w:sz w:val="32"/>
          <w:szCs w:val="32"/>
        </w:rPr>
        <w:t>全面贯彻党的十九大精神，以习近平新时代中国特色社会主义思想为指导，</w:t>
      </w:r>
      <w:r>
        <w:rPr>
          <w:rFonts w:eastAsia="仿宋_GB2312" w:hint="eastAsia"/>
          <w:color w:val="000000"/>
          <w:sz w:val="32"/>
          <w:szCs w:val="32"/>
        </w:rPr>
        <w:t>牢固树立以人民为中心的发展思想，贯彻落实总体国家安全观，针对当前涉</w:t>
      </w:r>
      <w:proofErr w:type="gramStart"/>
      <w:r>
        <w:rPr>
          <w:rFonts w:eastAsia="仿宋_GB2312" w:hint="eastAsia"/>
          <w:color w:val="000000"/>
          <w:sz w:val="32"/>
          <w:szCs w:val="32"/>
        </w:rPr>
        <w:t>黑涉恶问题</w:t>
      </w:r>
      <w:proofErr w:type="gramEnd"/>
      <w:r>
        <w:rPr>
          <w:rFonts w:eastAsia="仿宋_GB2312" w:hint="eastAsia"/>
          <w:color w:val="000000"/>
          <w:sz w:val="32"/>
          <w:szCs w:val="32"/>
        </w:rPr>
        <w:t>新动向，切实把专项治理和系统治理、综合治理、依法治理、源头治理结合起来，把打击黑恶势力和反腐败、基层“拍蝇”结合起来，</w:t>
      </w:r>
      <w:r>
        <w:rPr>
          <w:rFonts w:eastAsia="仿宋_GB2312" w:hint="eastAsia"/>
          <w:sz w:val="32"/>
          <w:szCs w:val="32"/>
        </w:rPr>
        <w:t>把扫黑除恶与文化旅游广电市场综合整治结合起来，既有力打击震慑黑恶势力，形成压倒态势，又有效铲除黑恶势力滋生土壤，形成长效机制，不断净化市场环境，维护社会和谐稳定。</w:t>
      </w:r>
    </w:p>
    <w:p w:rsidR="000051E0" w:rsidRDefault="000051E0" w:rsidP="000051E0">
      <w:pPr>
        <w:widowControl/>
        <w:numPr>
          <w:ilvl w:val="0"/>
          <w:numId w:val="1"/>
        </w:numPr>
        <w:adjustRightInd w:val="0"/>
        <w:snapToGrid w:val="0"/>
        <w:spacing w:line="560" w:lineRule="exact"/>
        <w:ind w:firstLineChars="200" w:firstLine="640"/>
        <w:rPr>
          <w:rFonts w:eastAsia="黑体"/>
          <w:sz w:val="32"/>
          <w:szCs w:val="32"/>
        </w:rPr>
      </w:pPr>
      <w:r>
        <w:rPr>
          <w:rFonts w:eastAsia="黑体" w:hint="eastAsia"/>
          <w:sz w:val="32"/>
          <w:szCs w:val="32"/>
        </w:rPr>
        <w:t>目标任务</w:t>
      </w:r>
    </w:p>
    <w:p w:rsidR="000051E0" w:rsidRDefault="000051E0" w:rsidP="000051E0">
      <w:pPr>
        <w:autoSpaceDN w:val="0"/>
        <w:adjustRightInd w:val="0"/>
        <w:snapToGrid w:val="0"/>
        <w:spacing w:line="560" w:lineRule="exact"/>
        <w:ind w:firstLineChars="200" w:firstLine="640"/>
        <w:jc w:val="left"/>
        <w:rPr>
          <w:rFonts w:eastAsia="仿宋_GB2312"/>
          <w:color w:val="000000"/>
          <w:sz w:val="32"/>
          <w:szCs w:val="32"/>
        </w:rPr>
      </w:pPr>
      <w:r>
        <w:rPr>
          <w:rFonts w:eastAsia="仿宋_GB2312" w:hint="eastAsia"/>
          <w:sz w:val="32"/>
          <w:szCs w:val="32"/>
        </w:rPr>
        <w:t>通过不懈努力，全县文化旅游广电市场涉</w:t>
      </w:r>
      <w:proofErr w:type="gramStart"/>
      <w:r>
        <w:rPr>
          <w:rFonts w:eastAsia="仿宋_GB2312" w:hint="eastAsia"/>
          <w:sz w:val="32"/>
          <w:szCs w:val="32"/>
        </w:rPr>
        <w:t>黑涉恶</w:t>
      </w:r>
      <w:proofErr w:type="gramEnd"/>
      <w:r>
        <w:rPr>
          <w:rFonts w:eastAsia="仿宋_GB2312" w:hint="eastAsia"/>
          <w:sz w:val="32"/>
          <w:szCs w:val="32"/>
        </w:rPr>
        <w:t>现象得</w:t>
      </w:r>
      <w:r>
        <w:rPr>
          <w:rFonts w:eastAsia="仿宋_GB2312" w:hint="eastAsia"/>
          <w:color w:val="000000"/>
          <w:sz w:val="32"/>
          <w:szCs w:val="32"/>
        </w:rPr>
        <w:t>到全面整治，重点领域、重点单位、基层管理得到明显加强，人民群众获得感、安全感、满意度明显提升。</w:t>
      </w:r>
      <w:r>
        <w:rPr>
          <w:rFonts w:eastAsia="仿宋_GB2312"/>
          <w:color w:val="000000"/>
          <w:sz w:val="32"/>
          <w:szCs w:val="32"/>
        </w:rPr>
        <w:t xml:space="preserve">    </w:t>
      </w:r>
    </w:p>
    <w:p w:rsidR="000051E0" w:rsidRDefault="000051E0" w:rsidP="000051E0">
      <w:pPr>
        <w:autoSpaceDN w:val="0"/>
        <w:adjustRightInd w:val="0"/>
        <w:snapToGrid w:val="0"/>
        <w:spacing w:line="560" w:lineRule="exact"/>
        <w:ind w:firstLineChars="200" w:firstLine="640"/>
        <w:jc w:val="left"/>
        <w:rPr>
          <w:rFonts w:eastAsia="仿宋_GB2312"/>
          <w:color w:val="000000"/>
          <w:sz w:val="32"/>
          <w:szCs w:val="32"/>
        </w:rPr>
      </w:pPr>
      <w:r>
        <w:rPr>
          <w:rFonts w:eastAsia="黑体" w:hint="eastAsia"/>
          <w:bCs/>
          <w:color w:val="000000"/>
          <w:sz w:val="32"/>
          <w:szCs w:val="32"/>
        </w:rPr>
        <w:t>三</w:t>
      </w:r>
      <w:r>
        <w:rPr>
          <w:rFonts w:eastAsia="黑体"/>
          <w:bCs/>
          <w:color w:val="000000"/>
          <w:sz w:val="32"/>
          <w:szCs w:val="32"/>
        </w:rPr>
        <w:t>、</w:t>
      </w:r>
      <w:r>
        <w:rPr>
          <w:rFonts w:eastAsia="黑体" w:hint="eastAsia"/>
          <w:bCs/>
          <w:color w:val="000000"/>
          <w:sz w:val="32"/>
          <w:szCs w:val="32"/>
        </w:rPr>
        <w:t>工作步骤</w:t>
      </w:r>
    </w:p>
    <w:p w:rsidR="000051E0" w:rsidRDefault="000051E0" w:rsidP="000051E0">
      <w:pPr>
        <w:autoSpaceDN w:val="0"/>
        <w:adjustRightInd w:val="0"/>
        <w:snapToGrid w:val="0"/>
        <w:spacing w:line="560" w:lineRule="exact"/>
        <w:jc w:val="left"/>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在</w:t>
      </w:r>
      <w:r>
        <w:rPr>
          <w:rFonts w:eastAsia="仿宋_GB2312" w:hint="eastAsia"/>
          <w:color w:val="000000"/>
          <w:sz w:val="32"/>
          <w:szCs w:val="32"/>
        </w:rPr>
        <w:t>2018</w:t>
      </w:r>
      <w:r>
        <w:rPr>
          <w:rFonts w:eastAsia="仿宋_GB2312" w:hint="eastAsia"/>
          <w:color w:val="000000"/>
          <w:sz w:val="32"/>
          <w:szCs w:val="32"/>
        </w:rPr>
        <w:t>年工作的基础上，现就</w:t>
      </w:r>
      <w:r>
        <w:rPr>
          <w:rFonts w:eastAsia="仿宋_GB2312" w:hint="eastAsia"/>
          <w:color w:val="000000"/>
          <w:sz w:val="32"/>
          <w:szCs w:val="32"/>
        </w:rPr>
        <w:t>2019</w:t>
      </w:r>
      <w:r>
        <w:rPr>
          <w:rFonts w:eastAsia="仿宋_GB2312" w:hint="eastAsia"/>
          <w:color w:val="000000"/>
          <w:sz w:val="32"/>
          <w:szCs w:val="32"/>
        </w:rPr>
        <w:t>年和</w:t>
      </w:r>
      <w:r>
        <w:rPr>
          <w:rFonts w:eastAsia="仿宋_GB2312" w:hint="eastAsia"/>
          <w:color w:val="000000"/>
          <w:sz w:val="32"/>
          <w:szCs w:val="32"/>
        </w:rPr>
        <w:t>2020</w:t>
      </w:r>
      <w:r>
        <w:rPr>
          <w:rFonts w:eastAsia="仿宋_GB2312" w:hint="eastAsia"/>
          <w:color w:val="000000"/>
          <w:sz w:val="32"/>
          <w:szCs w:val="32"/>
        </w:rPr>
        <w:t>年全县文化旅游广电市场扫黑除恶专项斗争工作制定以下工作步骤：</w:t>
      </w:r>
    </w:p>
    <w:p w:rsidR="000051E0" w:rsidRDefault="000051E0" w:rsidP="000051E0">
      <w:pPr>
        <w:pStyle w:val="a3"/>
        <w:adjustRightInd w:val="0"/>
        <w:snapToGrid w:val="0"/>
        <w:spacing w:line="560" w:lineRule="exact"/>
        <w:ind w:firstLineChars="200" w:firstLine="640"/>
        <w:rPr>
          <w:rFonts w:ascii="仿宋_GB2312" w:eastAsia="仿宋_GB2312"/>
          <w:sz w:val="32"/>
          <w:szCs w:val="32"/>
        </w:rPr>
      </w:pPr>
      <w:r>
        <w:rPr>
          <w:rFonts w:ascii="Times New Roman" w:eastAsia="楷体_GB2312" w:hAnsi="Times New Roman"/>
          <w:color w:val="000000"/>
          <w:sz w:val="32"/>
          <w:szCs w:val="32"/>
        </w:rPr>
        <w:t>（一）</w:t>
      </w:r>
      <w:r>
        <w:rPr>
          <w:rFonts w:ascii="Times New Roman" w:eastAsia="楷体_GB2312" w:hAnsi="Times New Roman" w:hint="eastAsia"/>
          <w:color w:val="000000"/>
          <w:sz w:val="32"/>
          <w:szCs w:val="32"/>
        </w:rPr>
        <w:t>进一步动员部署阶段（</w:t>
      </w:r>
      <w:r>
        <w:rPr>
          <w:rFonts w:ascii="Times New Roman" w:eastAsia="楷体_GB2312" w:hAnsi="Times New Roman" w:hint="eastAsia"/>
          <w:color w:val="000000"/>
          <w:sz w:val="32"/>
          <w:szCs w:val="32"/>
        </w:rPr>
        <w:t>2019</w:t>
      </w:r>
      <w:r>
        <w:rPr>
          <w:rFonts w:ascii="Times New Roman" w:eastAsia="楷体_GB2312" w:hAnsi="Times New Roman" w:hint="eastAsia"/>
          <w:color w:val="000000"/>
          <w:sz w:val="32"/>
          <w:szCs w:val="32"/>
        </w:rPr>
        <w:t>年</w:t>
      </w:r>
      <w:r>
        <w:rPr>
          <w:rFonts w:ascii="Times New Roman" w:eastAsia="楷体_GB2312" w:hAnsi="Times New Roman" w:hint="eastAsia"/>
          <w:color w:val="000000"/>
          <w:sz w:val="32"/>
          <w:szCs w:val="32"/>
        </w:rPr>
        <w:t>3</w:t>
      </w:r>
      <w:r>
        <w:rPr>
          <w:rFonts w:ascii="Times New Roman" w:eastAsia="楷体_GB2312" w:hAnsi="Times New Roman" w:hint="eastAsia"/>
          <w:color w:val="000000"/>
          <w:sz w:val="32"/>
          <w:szCs w:val="32"/>
        </w:rPr>
        <w:t>月）</w:t>
      </w:r>
      <w:r>
        <w:rPr>
          <w:rFonts w:ascii="Times New Roman" w:eastAsia="楷体_GB2312" w:hAnsi="Times New Roman"/>
          <w:color w:val="000000"/>
          <w:sz w:val="32"/>
          <w:szCs w:val="32"/>
        </w:rPr>
        <w:t>。</w:t>
      </w:r>
      <w:r>
        <w:rPr>
          <w:rFonts w:ascii="仿宋_GB2312" w:eastAsia="仿宋_GB2312" w:hint="eastAsia"/>
          <w:color w:val="000000"/>
          <w:sz w:val="32"/>
          <w:szCs w:val="32"/>
        </w:rPr>
        <w:t>一是</w:t>
      </w:r>
      <w:r>
        <w:rPr>
          <w:rFonts w:ascii="Times New Roman" w:eastAsia="仿宋_GB2312" w:hAnsi="Times New Roman"/>
          <w:color w:val="000000"/>
          <w:sz w:val="32"/>
          <w:szCs w:val="32"/>
        </w:rPr>
        <w:t>局属</w:t>
      </w:r>
      <w:r>
        <w:rPr>
          <w:rFonts w:ascii="Times New Roman" w:eastAsia="仿宋_GB2312" w:hAnsi="Times New Roman"/>
          <w:color w:val="000000"/>
          <w:sz w:val="32"/>
          <w:szCs w:val="32"/>
        </w:rPr>
        <w:lastRenderedPageBreak/>
        <w:t>各单位</w:t>
      </w:r>
      <w:r>
        <w:rPr>
          <w:rFonts w:ascii="Times New Roman" w:eastAsia="仿宋_GB2312" w:hAnsi="Times New Roman" w:hint="eastAsia"/>
          <w:color w:val="000000"/>
          <w:sz w:val="32"/>
          <w:szCs w:val="32"/>
        </w:rPr>
        <w:t>、各科室</w:t>
      </w:r>
      <w:r>
        <w:rPr>
          <w:rFonts w:ascii="仿宋_GB2312" w:eastAsia="仿宋_GB2312" w:hint="eastAsia"/>
          <w:color w:val="000000"/>
          <w:sz w:val="32"/>
          <w:szCs w:val="32"/>
        </w:rPr>
        <w:t>利用信息公开栏、门户网站、</w:t>
      </w:r>
      <w:proofErr w:type="gramStart"/>
      <w:r>
        <w:rPr>
          <w:rFonts w:ascii="仿宋_GB2312" w:eastAsia="仿宋_GB2312" w:hint="eastAsia"/>
          <w:color w:val="000000"/>
          <w:sz w:val="32"/>
          <w:szCs w:val="32"/>
        </w:rPr>
        <w:t>微信群</w:t>
      </w:r>
      <w:proofErr w:type="gramEnd"/>
      <w:r>
        <w:rPr>
          <w:rFonts w:ascii="仿宋_GB2312" w:eastAsia="仿宋_GB2312" w:hint="eastAsia"/>
          <w:color w:val="000000"/>
          <w:sz w:val="32"/>
          <w:szCs w:val="32"/>
        </w:rPr>
        <w:t>、QQ群等载体深入开展扫黑除恶专项斗争政策法规知识宣传。二是</w:t>
      </w:r>
      <w:r>
        <w:rPr>
          <w:rFonts w:ascii="Times New Roman" w:eastAsia="仿宋_GB2312" w:hAnsi="Times New Roman" w:hint="eastAsia"/>
          <w:color w:val="000000"/>
          <w:sz w:val="32"/>
          <w:szCs w:val="32"/>
        </w:rPr>
        <w:t>各责任科室</w:t>
      </w:r>
      <w:r>
        <w:rPr>
          <w:rFonts w:ascii="仿宋_GB2312" w:eastAsia="仿宋_GB2312" w:hint="eastAsia"/>
          <w:sz w:val="32"/>
          <w:szCs w:val="32"/>
        </w:rPr>
        <w:t>指导辖区内文化旅游广电行业经营场所通过电脑桌面、LED屏和屏幕开机画面等形式播出扫黑除恶专项斗争宣传标语，努力营造强大的宣传舆论氛围。三是开展扫黑除恶专项斗争培训宣讲活动，深刻领会开展扫黑除恶专项斗争的重大政治意义、现实意义和历史意义，主动投身扫黑除恶斗争，及时提供涉</w:t>
      </w:r>
      <w:proofErr w:type="gramStart"/>
      <w:r>
        <w:rPr>
          <w:rFonts w:ascii="仿宋_GB2312" w:eastAsia="仿宋_GB2312" w:hint="eastAsia"/>
          <w:sz w:val="32"/>
          <w:szCs w:val="32"/>
        </w:rPr>
        <w:t>黑涉恶犯罪</w:t>
      </w:r>
      <w:proofErr w:type="gramEnd"/>
      <w:r>
        <w:rPr>
          <w:rFonts w:ascii="仿宋_GB2312" w:eastAsia="仿宋_GB2312" w:hint="eastAsia"/>
          <w:sz w:val="32"/>
          <w:szCs w:val="32"/>
        </w:rPr>
        <w:t>线索，勇于同一切不良风气和违法犯罪行为作斗争。</w:t>
      </w:r>
    </w:p>
    <w:p w:rsidR="000051E0" w:rsidRDefault="000051E0" w:rsidP="000051E0">
      <w:pPr>
        <w:pStyle w:val="Style0"/>
        <w:adjustRightInd w:val="0"/>
        <w:snapToGrid w:val="0"/>
        <w:spacing w:line="560" w:lineRule="exact"/>
        <w:ind w:firstLineChars="150" w:firstLine="480"/>
        <w:rPr>
          <w:rFonts w:ascii="仿宋_GB2312" w:eastAsia="仿宋_GB2312"/>
          <w:sz w:val="32"/>
          <w:szCs w:val="32"/>
        </w:rPr>
      </w:pPr>
      <w:r>
        <w:rPr>
          <w:rFonts w:ascii="楷体_GB2312" w:eastAsia="楷体_GB2312" w:hint="eastAsia"/>
          <w:sz w:val="32"/>
          <w:szCs w:val="32"/>
        </w:rPr>
        <w:t>（二）进一步集中打击阶段（201</w:t>
      </w:r>
      <w:r>
        <w:rPr>
          <w:rFonts w:ascii="楷体_GB2312" w:eastAsia="楷体_GB2312"/>
          <w:sz w:val="32"/>
          <w:szCs w:val="32"/>
        </w:rPr>
        <w:t>9</w:t>
      </w:r>
      <w:r>
        <w:rPr>
          <w:rFonts w:ascii="楷体_GB2312" w:eastAsia="楷体_GB2312" w:hint="eastAsia"/>
          <w:sz w:val="32"/>
          <w:szCs w:val="32"/>
        </w:rPr>
        <w:t>年3月至201</w:t>
      </w:r>
      <w:r>
        <w:rPr>
          <w:rFonts w:ascii="楷体_GB2312" w:eastAsia="楷体_GB2312"/>
          <w:sz w:val="32"/>
          <w:szCs w:val="32"/>
        </w:rPr>
        <w:t>9</w:t>
      </w:r>
      <w:r>
        <w:rPr>
          <w:rFonts w:ascii="楷体_GB2312" w:eastAsia="楷体_GB2312" w:hint="eastAsia"/>
          <w:sz w:val="32"/>
          <w:szCs w:val="32"/>
        </w:rPr>
        <w:t>年8月）。</w:t>
      </w:r>
      <w:r>
        <w:rPr>
          <w:rFonts w:ascii="Times New Roman" w:eastAsia="仿宋_GB2312" w:hAnsi="Times New Roman"/>
          <w:color w:val="000000"/>
          <w:sz w:val="32"/>
          <w:szCs w:val="32"/>
        </w:rPr>
        <w:t>局属各单位</w:t>
      </w:r>
      <w:r>
        <w:rPr>
          <w:rFonts w:ascii="Times New Roman" w:eastAsia="仿宋_GB2312" w:hAnsi="Times New Roman" w:hint="eastAsia"/>
          <w:color w:val="000000"/>
          <w:sz w:val="32"/>
          <w:szCs w:val="32"/>
        </w:rPr>
        <w:t>、各科室要</w:t>
      </w:r>
      <w:r>
        <w:rPr>
          <w:rFonts w:ascii="仿宋_GB2312" w:eastAsia="仿宋_GB2312" w:hint="eastAsia"/>
          <w:color w:val="000000"/>
          <w:sz w:val="32"/>
          <w:szCs w:val="32"/>
        </w:rPr>
        <w:t>深入推进扫黑除恶专项斗争，认真开展排查走访，</w:t>
      </w:r>
      <w:r>
        <w:rPr>
          <w:rFonts w:ascii="仿宋_GB2312" w:eastAsia="仿宋_GB2312" w:hint="eastAsia"/>
          <w:sz w:val="32"/>
          <w:szCs w:val="32"/>
        </w:rPr>
        <w:t>全面收集上报涉</w:t>
      </w:r>
      <w:proofErr w:type="gramStart"/>
      <w:r>
        <w:rPr>
          <w:rFonts w:ascii="仿宋_GB2312" w:eastAsia="仿宋_GB2312" w:hint="eastAsia"/>
          <w:sz w:val="32"/>
          <w:szCs w:val="32"/>
        </w:rPr>
        <w:t>黑涉恶违法</w:t>
      </w:r>
      <w:proofErr w:type="gramEnd"/>
      <w:r>
        <w:rPr>
          <w:rFonts w:ascii="仿宋_GB2312" w:eastAsia="仿宋_GB2312" w:hint="eastAsia"/>
          <w:sz w:val="32"/>
          <w:szCs w:val="32"/>
        </w:rPr>
        <w:t>犯罪线索，重点排查欺压同行、称霸市场、强买强卖、扰乱行业秩序以及操控文化旅游广电市场经营场所从事“黄赌毒”违法行为的涉</w:t>
      </w:r>
      <w:proofErr w:type="gramStart"/>
      <w:r>
        <w:rPr>
          <w:rFonts w:ascii="仿宋_GB2312" w:eastAsia="仿宋_GB2312" w:hint="eastAsia"/>
          <w:sz w:val="32"/>
          <w:szCs w:val="32"/>
        </w:rPr>
        <w:t>黑涉恶</w:t>
      </w:r>
      <w:proofErr w:type="gramEnd"/>
      <w:r>
        <w:rPr>
          <w:rFonts w:ascii="仿宋_GB2312" w:eastAsia="仿宋_GB2312" w:hint="eastAsia"/>
          <w:sz w:val="32"/>
          <w:szCs w:val="32"/>
        </w:rPr>
        <w:t>线索，对排查出的线索，按照属地管理原则，及时报送公安机关和县扫黑办。</w:t>
      </w:r>
      <w:r>
        <w:rPr>
          <w:rFonts w:ascii="Times New Roman" w:eastAsia="仿宋_GB2312" w:hAnsi="Times New Roman" w:hint="eastAsia"/>
          <w:sz w:val="32"/>
          <w:szCs w:val="32"/>
        </w:rPr>
        <w:t>执法科、</w:t>
      </w:r>
      <w:proofErr w:type="gramStart"/>
      <w:r>
        <w:rPr>
          <w:rFonts w:ascii="Times New Roman" w:eastAsia="仿宋_GB2312" w:hAnsi="Times New Roman" w:hint="eastAsia"/>
          <w:sz w:val="32"/>
          <w:szCs w:val="32"/>
        </w:rPr>
        <w:t>旅游科</w:t>
      </w:r>
      <w:proofErr w:type="gramEnd"/>
      <w:r>
        <w:rPr>
          <w:rFonts w:ascii="Times New Roman" w:eastAsia="仿宋_GB2312" w:hAnsi="Times New Roman" w:hint="eastAsia"/>
          <w:sz w:val="32"/>
          <w:szCs w:val="32"/>
        </w:rPr>
        <w:t>要</w:t>
      </w:r>
      <w:r>
        <w:rPr>
          <w:rFonts w:ascii="仿宋_GB2312" w:eastAsia="仿宋_GB2312" w:hint="eastAsia"/>
          <w:sz w:val="32"/>
          <w:szCs w:val="32"/>
        </w:rPr>
        <w:t>继续开展“黑社”、“黑导”、“黑车”专项整治行动，确保全县旅游市场秩序平稳有序。</w:t>
      </w:r>
    </w:p>
    <w:p w:rsidR="000051E0" w:rsidRDefault="000051E0" w:rsidP="000051E0">
      <w:pPr>
        <w:pStyle w:val="a3"/>
        <w:adjustRightInd w:val="0"/>
        <w:snapToGrid w:val="0"/>
        <w:spacing w:line="560" w:lineRule="exact"/>
        <w:ind w:firstLineChars="150" w:firstLine="480"/>
        <w:rPr>
          <w:rFonts w:ascii="仿宋_GB2312" w:eastAsia="仿宋_GB2312"/>
          <w:color w:val="000000"/>
          <w:sz w:val="32"/>
          <w:szCs w:val="32"/>
        </w:rPr>
      </w:pPr>
      <w:r>
        <w:rPr>
          <w:rFonts w:ascii="楷体_GB2312" w:eastAsia="楷体_GB2312" w:hint="eastAsia"/>
          <w:sz w:val="32"/>
          <w:szCs w:val="32"/>
        </w:rPr>
        <w:t>（三）集中攻坚阶段（2019年</w:t>
      </w:r>
      <w:r>
        <w:rPr>
          <w:rFonts w:ascii="楷体_GB2312" w:eastAsia="楷体_GB2312"/>
          <w:sz w:val="32"/>
          <w:szCs w:val="32"/>
        </w:rPr>
        <w:t>9</w:t>
      </w:r>
      <w:r>
        <w:rPr>
          <w:rFonts w:ascii="楷体_GB2312" w:eastAsia="楷体_GB2312" w:hint="eastAsia"/>
          <w:sz w:val="32"/>
          <w:szCs w:val="32"/>
        </w:rPr>
        <w:t>月至2019年12月）。</w:t>
      </w:r>
      <w:r>
        <w:rPr>
          <w:rFonts w:ascii="Times New Roman" w:eastAsia="仿宋_GB2312" w:hAnsi="Times New Roman"/>
          <w:color w:val="000000"/>
          <w:sz w:val="32"/>
          <w:szCs w:val="32"/>
        </w:rPr>
        <w:t>局属各单位</w:t>
      </w:r>
      <w:r>
        <w:rPr>
          <w:rFonts w:ascii="Times New Roman" w:eastAsia="仿宋_GB2312" w:hAnsi="Times New Roman" w:hint="eastAsia"/>
          <w:color w:val="000000"/>
          <w:sz w:val="32"/>
          <w:szCs w:val="32"/>
        </w:rPr>
        <w:t>、各科室</w:t>
      </w:r>
      <w:r>
        <w:rPr>
          <w:rFonts w:ascii="Times New Roman" w:eastAsia="仿宋_GB2312" w:hAnsi="Times New Roman" w:hint="eastAsia"/>
          <w:sz w:val="32"/>
          <w:szCs w:val="32"/>
        </w:rPr>
        <w:t>要</w:t>
      </w:r>
      <w:r>
        <w:rPr>
          <w:rFonts w:ascii="仿宋_GB2312" w:eastAsia="仿宋_GB2312" w:hint="eastAsia"/>
          <w:sz w:val="32"/>
          <w:szCs w:val="32"/>
        </w:rPr>
        <w:t>配合相关部门对涉及文化旅游广电市场尚未攻克的</w:t>
      </w:r>
      <w:r>
        <w:rPr>
          <w:rFonts w:ascii="仿宋_GB2312" w:eastAsia="仿宋_GB2312" w:hint="eastAsia"/>
          <w:color w:val="000000"/>
          <w:sz w:val="32"/>
          <w:szCs w:val="32"/>
        </w:rPr>
        <w:t>重点案件、重点问题、重点地区进行集中攻坚；对已侦破的案件寻线深挖、收集线索，彻底铲除黑恶势力赖以滋生的土壤。</w:t>
      </w:r>
    </w:p>
    <w:p w:rsidR="000051E0" w:rsidRDefault="000051E0" w:rsidP="000051E0">
      <w:pPr>
        <w:pStyle w:val="a3"/>
        <w:adjustRightInd w:val="0"/>
        <w:snapToGrid w:val="0"/>
        <w:spacing w:line="560" w:lineRule="exact"/>
        <w:ind w:firstLineChars="150" w:firstLine="480"/>
        <w:rPr>
          <w:rFonts w:ascii="仿宋_GB2312" w:eastAsia="仿宋_GB2312"/>
          <w:color w:val="000000"/>
          <w:sz w:val="32"/>
          <w:szCs w:val="32"/>
        </w:rPr>
      </w:pPr>
      <w:r>
        <w:rPr>
          <w:rFonts w:ascii="楷体_GB2312" w:eastAsia="楷体_GB2312" w:hint="eastAsia"/>
          <w:color w:val="000000"/>
          <w:sz w:val="32"/>
          <w:szCs w:val="32"/>
        </w:rPr>
        <w:t>（四）巩固提升阶段（2020年1月至2020年12月）。</w:t>
      </w:r>
      <w:r>
        <w:rPr>
          <w:rFonts w:ascii="Times New Roman" w:eastAsia="仿宋_GB2312" w:hAnsi="Times New Roman"/>
          <w:color w:val="000000"/>
          <w:sz w:val="32"/>
          <w:szCs w:val="32"/>
        </w:rPr>
        <w:t>局</w:t>
      </w:r>
      <w:r>
        <w:rPr>
          <w:rFonts w:ascii="Times New Roman" w:eastAsia="仿宋_GB2312" w:hAnsi="Times New Roman"/>
          <w:color w:val="000000"/>
          <w:sz w:val="32"/>
          <w:szCs w:val="32"/>
        </w:rPr>
        <w:lastRenderedPageBreak/>
        <w:t>属各单位</w:t>
      </w:r>
      <w:r>
        <w:rPr>
          <w:rFonts w:ascii="Times New Roman" w:eastAsia="仿宋_GB2312" w:hAnsi="Times New Roman" w:hint="eastAsia"/>
          <w:color w:val="000000"/>
          <w:sz w:val="32"/>
          <w:szCs w:val="32"/>
        </w:rPr>
        <w:t>、各科室</w:t>
      </w:r>
      <w:r>
        <w:rPr>
          <w:rFonts w:ascii="仿宋_GB2312" w:eastAsia="仿宋_GB2312" w:hint="eastAsia"/>
          <w:sz w:val="32"/>
          <w:szCs w:val="32"/>
        </w:rPr>
        <w:t>配合相关部门巩固打击攻坚成果，完</w:t>
      </w:r>
      <w:r>
        <w:rPr>
          <w:rFonts w:ascii="仿宋_GB2312" w:eastAsia="仿宋_GB2312" w:hint="eastAsia"/>
          <w:color w:val="000000"/>
          <w:sz w:val="32"/>
          <w:szCs w:val="32"/>
        </w:rPr>
        <w:t>善治理机制，力争扫黑除恶专项斗争实现压倒性胜利。</w:t>
      </w:r>
    </w:p>
    <w:p w:rsidR="000051E0" w:rsidRDefault="000051E0" w:rsidP="000051E0">
      <w:pPr>
        <w:pStyle w:val="a3"/>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四、工作内容</w:t>
      </w:r>
    </w:p>
    <w:p w:rsidR="000051E0" w:rsidRDefault="000051E0" w:rsidP="000051E0">
      <w:pPr>
        <w:pStyle w:val="a3"/>
        <w:adjustRightInd w:val="0"/>
        <w:snapToGrid w:val="0"/>
        <w:spacing w:line="560" w:lineRule="exact"/>
        <w:ind w:firstLineChars="150" w:firstLine="482"/>
        <w:rPr>
          <w:rFonts w:ascii="楷体_GB2312" w:eastAsia="楷体_GB2312"/>
          <w:b/>
          <w:color w:val="000000"/>
          <w:sz w:val="32"/>
          <w:szCs w:val="32"/>
        </w:rPr>
      </w:pPr>
      <w:r>
        <w:rPr>
          <w:rFonts w:ascii="楷体_GB2312" w:eastAsia="楷体_GB2312" w:hint="eastAsia"/>
          <w:b/>
          <w:color w:val="000000"/>
          <w:sz w:val="32"/>
          <w:szCs w:val="32"/>
        </w:rPr>
        <w:t>（一）精准打击的黑恶势力</w:t>
      </w:r>
    </w:p>
    <w:p w:rsidR="000051E0" w:rsidRDefault="000051E0" w:rsidP="000051E0">
      <w:pPr>
        <w:adjustRightInd w:val="0"/>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威胁政治安全特别是制度安全、政权安全以及向政治领域渗透的黑恶势力；</w:t>
      </w:r>
    </w:p>
    <w:p w:rsidR="000051E0" w:rsidRDefault="000051E0" w:rsidP="000051E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2.在征地、租地、拆迁、工程项目建设等过程中煽动闹事的黑恶势力；</w:t>
      </w:r>
    </w:p>
    <w:p w:rsidR="000051E0" w:rsidRDefault="000051E0" w:rsidP="000051E0">
      <w:pPr>
        <w:adjustRightInd w:val="0"/>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3.抢占各类集贸、批发市场、车站、旅游景区，欺行霸市、强买强卖、敲诈勒索、强迫交易、收保护费等侵害群众利益的各类“菜霸”“行霸”</w:t>
      </w:r>
      <w:proofErr w:type="gramStart"/>
      <w:r>
        <w:rPr>
          <w:rFonts w:ascii="仿宋_GB2312" w:eastAsia="仿宋_GB2312" w:hAnsi="仿宋_GB2312" w:cs="仿宋_GB2312" w:hint="eastAsia"/>
          <w:sz w:val="32"/>
          <w:szCs w:val="32"/>
        </w:rPr>
        <w:t>“市霸”等黑恶势力</w:t>
      </w:r>
      <w:proofErr w:type="gramEnd"/>
      <w:r>
        <w:rPr>
          <w:rFonts w:ascii="仿宋_GB2312" w:eastAsia="仿宋_GB2312" w:hAnsi="仿宋_GB2312" w:cs="仿宋_GB2312" w:hint="eastAsia"/>
          <w:sz w:val="32"/>
          <w:szCs w:val="32"/>
        </w:rPr>
        <w:t>。</w:t>
      </w:r>
      <w:r>
        <w:rPr>
          <w:rFonts w:ascii="仿宋_GB2312" w:eastAsia="仿宋_GB2312" w:hint="eastAsia"/>
          <w:sz w:val="32"/>
          <w:szCs w:val="32"/>
        </w:rPr>
        <w:t xml:space="preserve"> </w:t>
      </w:r>
    </w:p>
    <w:p w:rsidR="000051E0" w:rsidRDefault="000051E0" w:rsidP="000051E0">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4.在城乡居民区、娱乐场所开设赌场、抽头放板等有组织的从事涉“黄、赌、毒、枪”违法犯罪活动，严重败坏社会风气、危害社会治安的黑恶势力。</w:t>
      </w:r>
    </w:p>
    <w:p w:rsidR="000051E0" w:rsidRDefault="000051E0" w:rsidP="000051E0">
      <w:pPr>
        <w:adjustRightInd w:val="0"/>
        <w:snapToGrid w:val="0"/>
        <w:spacing w:line="560" w:lineRule="exact"/>
        <w:ind w:leftChars="304" w:left="638"/>
        <w:rPr>
          <w:rFonts w:ascii="仿宋_GB2312" w:eastAsia="仿宋_GB2312"/>
          <w:sz w:val="32"/>
          <w:szCs w:val="32"/>
        </w:rPr>
      </w:pPr>
      <w:r>
        <w:rPr>
          <w:rFonts w:ascii="仿宋_GB2312" w:eastAsia="仿宋_GB2312" w:hint="eastAsia"/>
          <w:sz w:val="32"/>
          <w:szCs w:val="32"/>
        </w:rPr>
        <w:t>5.插手民间纠纷，充当“地下执法队”的黑恶势力。</w:t>
      </w:r>
    </w:p>
    <w:p w:rsidR="000051E0" w:rsidRDefault="000051E0" w:rsidP="000051E0">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6.在城乡集镇、市场、工矿区、学校周边地区、烧烤夜市、娱乐场所等重点区域纠集团伙、寻衅滋事、打架斗殴、吃拿卡要、敲诈勒索的地痞</w:t>
      </w:r>
      <w:proofErr w:type="gramStart"/>
      <w:r>
        <w:rPr>
          <w:rFonts w:ascii="仿宋_GB2312" w:eastAsia="仿宋_GB2312" w:hAnsi="仿宋_GB2312" w:cs="仿宋_GB2312" w:hint="eastAsia"/>
          <w:sz w:val="32"/>
          <w:szCs w:val="32"/>
        </w:rPr>
        <w:t>流氓等黑恶势力</w:t>
      </w:r>
      <w:proofErr w:type="gramEnd"/>
      <w:r>
        <w:rPr>
          <w:rFonts w:ascii="仿宋_GB2312" w:eastAsia="仿宋_GB2312" w:hAnsi="仿宋_GB2312" w:cs="仿宋_GB2312" w:hint="eastAsia"/>
          <w:sz w:val="32"/>
          <w:szCs w:val="32"/>
        </w:rPr>
        <w:t>。</w:t>
      </w:r>
    </w:p>
    <w:p w:rsidR="000051E0" w:rsidRDefault="000051E0" w:rsidP="000051E0">
      <w:pPr>
        <w:adjustRightInd w:val="0"/>
        <w:snapToGrid w:val="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7.组织或雇用网络“水军”在网上威胁、恐吓、侮辱、诽谤、滋扰的黑恶势力。</w:t>
      </w:r>
    </w:p>
    <w:p w:rsidR="000051E0" w:rsidRDefault="000051E0" w:rsidP="000051E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8.策划、实施非法吸收公众存款、集资诈骗、组织煽动特定利益受损群众非法上访，围攻党委、政府和其它机关企事业单位的黑恶势力。</w:t>
      </w:r>
    </w:p>
    <w:p w:rsidR="000051E0" w:rsidRDefault="000051E0" w:rsidP="000051E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9.坚决深挖黑恶势力保护伞。</w:t>
      </w:r>
    </w:p>
    <w:p w:rsidR="000051E0" w:rsidRDefault="000051E0" w:rsidP="000051E0">
      <w:pPr>
        <w:pStyle w:val="a3"/>
        <w:adjustRightInd w:val="0"/>
        <w:snapToGrid w:val="0"/>
        <w:spacing w:line="560" w:lineRule="exact"/>
        <w:ind w:firstLineChars="150" w:firstLine="482"/>
        <w:rPr>
          <w:rFonts w:ascii="楷体_GB2312" w:eastAsia="楷体_GB2312"/>
          <w:b/>
          <w:color w:val="000000"/>
          <w:sz w:val="32"/>
          <w:szCs w:val="32"/>
        </w:rPr>
      </w:pPr>
      <w:r>
        <w:rPr>
          <w:rFonts w:ascii="楷体_GB2312" w:eastAsia="楷体_GB2312" w:hint="eastAsia"/>
          <w:b/>
          <w:color w:val="000000"/>
          <w:sz w:val="32"/>
          <w:szCs w:val="32"/>
        </w:rPr>
        <w:lastRenderedPageBreak/>
        <w:t>（二）集中整治的违法行为</w:t>
      </w:r>
    </w:p>
    <w:p w:rsidR="000051E0" w:rsidRDefault="000051E0" w:rsidP="000051E0">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上网服务场所违规接纳未成年人上网行为;</w:t>
      </w:r>
    </w:p>
    <w:p w:rsidR="000051E0" w:rsidRDefault="000051E0" w:rsidP="000051E0">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游戏娱乐场所强买强卖、恶意滋事、扰乱经营秩序等行为;</w:t>
      </w:r>
    </w:p>
    <w:p w:rsidR="000051E0" w:rsidRDefault="000051E0" w:rsidP="000051E0">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文化经营单位</w:t>
      </w:r>
      <w:r>
        <w:rPr>
          <w:rFonts w:ascii="仿宋_GB2312" w:eastAsia="仿宋_GB2312" w:hAnsi="微软雅黑" w:hint="eastAsia"/>
          <w:color w:val="000000"/>
          <w:sz w:val="32"/>
          <w:szCs w:val="32"/>
          <w:shd w:val="clear" w:color="auto" w:fill="FFFFFF"/>
        </w:rPr>
        <w:t>欺行霸市，操纵、经营“黄赌毒”的违法犯罪行为;</w:t>
      </w:r>
    </w:p>
    <w:p w:rsidR="000051E0" w:rsidRDefault="000051E0" w:rsidP="000051E0">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旅行社超范围经营和分支机构从事招徕、咨询以外的经营行为;</w:t>
      </w:r>
    </w:p>
    <w:p w:rsidR="000051E0" w:rsidRDefault="000051E0" w:rsidP="000051E0">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旅行社使用“黑车”、“黑导”从事旅游接待的违法行为；</w:t>
      </w:r>
    </w:p>
    <w:p w:rsidR="000051E0" w:rsidRDefault="000051E0" w:rsidP="000051E0">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办事处、代表处、联络处等从事旅游接待业务的违法行为。</w:t>
      </w:r>
    </w:p>
    <w:p w:rsidR="000051E0" w:rsidRDefault="000051E0" w:rsidP="000051E0">
      <w:pPr>
        <w:pStyle w:val="a3"/>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五、工作要求</w:t>
      </w:r>
    </w:p>
    <w:p w:rsidR="000051E0" w:rsidRDefault="000051E0" w:rsidP="000051E0">
      <w:pPr>
        <w:pStyle w:val="a3"/>
        <w:adjustRightInd w:val="0"/>
        <w:snapToGrid w:val="0"/>
        <w:spacing w:line="560" w:lineRule="exact"/>
        <w:ind w:firstLineChars="150" w:firstLine="480"/>
        <w:rPr>
          <w:rFonts w:ascii="仿宋_GB2312" w:eastAsia="仿宋_GB2312" w:hint="eastAsia"/>
          <w:color w:val="000000"/>
          <w:sz w:val="32"/>
          <w:szCs w:val="32"/>
        </w:rPr>
      </w:pPr>
      <w:r>
        <w:rPr>
          <w:rFonts w:ascii="楷体_GB2312" w:eastAsia="楷体_GB2312" w:hint="eastAsia"/>
          <w:color w:val="000000"/>
          <w:sz w:val="32"/>
          <w:szCs w:val="32"/>
        </w:rPr>
        <w:t>（一）提高政治站位，强化责任担当。</w:t>
      </w:r>
      <w:r>
        <w:rPr>
          <w:rFonts w:ascii="Times New Roman" w:eastAsia="仿宋_GB2312" w:hAnsi="Times New Roman"/>
          <w:color w:val="000000"/>
          <w:sz w:val="32"/>
          <w:szCs w:val="32"/>
        </w:rPr>
        <w:t>局属各单位</w:t>
      </w:r>
      <w:r>
        <w:rPr>
          <w:rFonts w:ascii="Times New Roman" w:eastAsia="仿宋_GB2312" w:hAnsi="Times New Roman" w:hint="eastAsia"/>
          <w:color w:val="000000"/>
          <w:sz w:val="32"/>
          <w:szCs w:val="32"/>
        </w:rPr>
        <w:t>、各科室</w:t>
      </w:r>
      <w:r>
        <w:rPr>
          <w:rFonts w:ascii="仿宋_GB2312" w:eastAsia="仿宋_GB2312" w:hint="eastAsia"/>
          <w:color w:val="000000"/>
          <w:sz w:val="32"/>
          <w:szCs w:val="32"/>
        </w:rPr>
        <w:t>要进一步提高政治站位，正确认识自身在扫黑除恶专项斗争中的职责定位，把增强“四个意识”、坚定“四个自信”、做到“两个维护”体现到专项斗争的各环节和全过程，切实把扫黑除恶专项斗争抓紧抓好抓出实效。</w:t>
      </w:r>
    </w:p>
    <w:p w:rsidR="000051E0" w:rsidRDefault="000051E0" w:rsidP="000051E0">
      <w:pPr>
        <w:adjustRightInd w:val="0"/>
        <w:snapToGrid w:val="0"/>
        <w:spacing w:line="560" w:lineRule="exact"/>
        <w:ind w:firstLineChars="200" w:firstLine="640"/>
        <w:rPr>
          <w:rFonts w:ascii="仿宋_GB2312" w:eastAsia="仿宋_GB2312" w:hAnsi="微软雅黑" w:hint="eastAsia"/>
          <w:sz w:val="32"/>
          <w:szCs w:val="32"/>
        </w:rPr>
      </w:pPr>
      <w:r>
        <w:rPr>
          <w:rFonts w:ascii="楷体_GB2312" w:eastAsia="楷体_GB2312" w:hint="eastAsia"/>
          <w:color w:val="000000"/>
          <w:sz w:val="32"/>
          <w:szCs w:val="32"/>
        </w:rPr>
        <w:t>（二）加强宣传发动，夯实群众基础。</w:t>
      </w:r>
      <w:r>
        <w:rPr>
          <w:rFonts w:ascii="仿宋" w:eastAsia="仿宋" w:hAnsi="仿宋" w:cs="仿宋" w:hint="eastAsia"/>
          <w:color w:val="000000"/>
          <w:sz w:val="32"/>
          <w:szCs w:val="32"/>
        </w:rPr>
        <w:t>局属各单位、各科室</w:t>
      </w:r>
      <w:r>
        <w:rPr>
          <w:rFonts w:ascii="仿宋_GB2312" w:eastAsia="仿宋_GB2312" w:hint="eastAsia"/>
          <w:sz w:val="32"/>
          <w:szCs w:val="32"/>
        </w:rPr>
        <w:t>要在开展扫黑除恶专项斗争工作的同时，采取多种形式，进一步抓好专项斗争工作的再动员再发动。充分借助各种宣传平台、渠道和媒介，在娱乐场所、营业网吧、演出场馆、星级饭店、A级景区、游客接待中心等重点部位，多渠道、全方位加强宣传。文化科、文化馆、图书馆要</w:t>
      </w:r>
      <w:r>
        <w:rPr>
          <w:rFonts w:ascii="仿宋_GB2312" w:eastAsia="仿宋_GB2312" w:hAnsi="新宋体" w:cs="仿宋_GB2312" w:hint="eastAsia"/>
          <w:sz w:val="32"/>
          <w:szCs w:val="32"/>
        </w:rPr>
        <w:t>通过开展“送</w:t>
      </w:r>
      <w:r>
        <w:rPr>
          <w:rFonts w:ascii="仿宋_GB2312" w:eastAsia="仿宋_GB2312" w:hAnsi="新宋体" w:cs="仿宋_GB2312" w:hint="eastAsia"/>
          <w:sz w:val="32"/>
          <w:szCs w:val="32"/>
        </w:rPr>
        <w:lastRenderedPageBreak/>
        <w:t>戏下乡”、“全民阅读”等文化惠民活动，</w:t>
      </w:r>
      <w:r>
        <w:rPr>
          <w:rFonts w:ascii="仿宋_GB2312" w:eastAsia="仿宋_GB2312" w:hAnsi="微软雅黑" w:hint="eastAsia"/>
          <w:sz w:val="32"/>
          <w:szCs w:val="32"/>
        </w:rPr>
        <w:t xml:space="preserve">掀起声势浩大的宣传攻势，激发从业人员同黑恶势力作斗争的决心和勇气，调动群众参与扫黑除恶专项斗争的积极性；县电视台要办好扫黑除恶专项斗争专栏，做好动态报道，根据县扫黑办提供的线索，深入采访报道一批典型案件，反映专项斗争的阶段性成果，切实增强群众同黑恶势力斗争的信心，在全社会形成对黑恶势力人人喊打的浓厚氛围。       </w:t>
      </w:r>
    </w:p>
    <w:p w:rsidR="000051E0" w:rsidRDefault="000051E0" w:rsidP="000051E0">
      <w:pPr>
        <w:adjustRightInd w:val="0"/>
        <w:snapToGrid w:val="0"/>
        <w:spacing w:line="560" w:lineRule="exact"/>
        <w:ind w:firstLineChars="200" w:firstLine="640"/>
        <w:rPr>
          <w:rFonts w:ascii="仿宋_GB2312" w:eastAsia="仿宋_GB2312" w:hAnsi="微软雅黑"/>
          <w:color w:val="222222"/>
          <w:sz w:val="32"/>
          <w:szCs w:val="32"/>
          <w:shd w:val="clear" w:color="auto" w:fill="F3F3F3"/>
        </w:rPr>
      </w:pPr>
      <w:r>
        <w:rPr>
          <w:rFonts w:ascii="楷体_GB2312" w:eastAsia="楷体_GB2312" w:hint="eastAsia"/>
          <w:sz w:val="32"/>
          <w:szCs w:val="32"/>
        </w:rPr>
        <w:t>（三）聚焦行业重点，强化综合监管。</w:t>
      </w:r>
      <w:r>
        <w:rPr>
          <w:rFonts w:eastAsia="仿宋_GB2312" w:hint="eastAsia"/>
          <w:color w:val="000000"/>
          <w:sz w:val="32"/>
          <w:szCs w:val="32"/>
        </w:rPr>
        <w:t>综合执法和安全生产办公室要进一步加强文化和旅游行业领域专项整治，在市场准入环节，针对娱乐场所、棋牌类网络游戏经营单位等易滋生黑恶势力的领域，依法加大对经营主体的资格审查，严把准入关；在规范管理方面，扎实抓好文化市场“黑名单”制度的贯彻落实，依法依规公布违法失信信息，惩戒一批、取缔一批，维护守法经营，打击市场乱象；在日常监管方面，突出歌舞娱乐场所、游艺娱乐场所、无证照经营场所等重点部位，紧盯人民群众反映强烈的强买强卖、不合理低价团、诱导购物等欺行霸市行为，进一步加大执法检查力度和频次，严格整治无序竞争乱象。</w:t>
      </w:r>
    </w:p>
    <w:p w:rsidR="000051E0" w:rsidRDefault="000051E0" w:rsidP="000051E0">
      <w:pPr>
        <w:pStyle w:val="a3"/>
        <w:adjustRightInd w:val="0"/>
        <w:snapToGrid w:val="0"/>
        <w:spacing w:line="560" w:lineRule="exact"/>
        <w:ind w:firstLineChars="200" w:firstLine="640"/>
        <w:rPr>
          <w:rFonts w:ascii="Times New Roman" w:eastAsia="仿宋_GB2312" w:hAnsi="Times New Roman" w:hint="eastAsia"/>
          <w:color w:val="000000"/>
          <w:sz w:val="32"/>
          <w:szCs w:val="32"/>
        </w:rPr>
      </w:pPr>
      <w:r>
        <w:rPr>
          <w:rFonts w:ascii="楷体_GB2312" w:eastAsia="楷体_GB2312" w:hAnsi="Times New Roman" w:hint="eastAsia"/>
          <w:color w:val="000000"/>
          <w:sz w:val="32"/>
          <w:szCs w:val="32"/>
        </w:rPr>
        <w:t>（四）抓好调查摸排，深挖案件线索。</w:t>
      </w:r>
      <w:r>
        <w:rPr>
          <w:rFonts w:ascii="Times New Roman" w:eastAsia="仿宋_GB2312" w:hAnsi="Times New Roman" w:hint="eastAsia"/>
          <w:color w:val="000000"/>
          <w:sz w:val="32"/>
          <w:szCs w:val="32"/>
        </w:rPr>
        <w:t>局属各单位、各科室</w:t>
      </w:r>
      <w:r>
        <w:rPr>
          <w:rFonts w:ascii="Times New Roman" w:eastAsia="仿宋_GB2312" w:hAnsi="Times New Roman" w:hint="eastAsia"/>
          <w:sz w:val="32"/>
          <w:szCs w:val="32"/>
        </w:rPr>
        <w:t>要按照《实施方案》明确方法步骤，围绕排查重点，紧盯人民群众普遍反映强烈的欺压同行、称霸市场</w:t>
      </w:r>
      <w:r>
        <w:rPr>
          <w:rFonts w:ascii="Times New Roman" w:eastAsia="仿宋_GB2312" w:hAnsi="Times New Roman" w:hint="eastAsia"/>
          <w:color w:val="000000"/>
          <w:sz w:val="32"/>
          <w:szCs w:val="32"/>
        </w:rPr>
        <w:t>、强买强卖、扰乱行业秩序等突出问题，持续开展涉</w:t>
      </w:r>
      <w:proofErr w:type="gramStart"/>
      <w:r>
        <w:rPr>
          <w:rFonts w:ascii="Times New Roman" w:eastAsia="仿宋_GB2312" w:hAnsi="Times New Roman" w:hint="eastAsia"/>
          <w:color w:val="000000"/>
          <w:sz w:val="32"/>
          <w:szCs w:val="32"/>
        </w:rPr>
        <w:t>黑涉恶问题</w:t>
      </w:r>
      <w:proofErr w:type="gramEnd"/>
      <w:r>
        <w:rPr>
          <w:rFonts w:ascii="Times New Roman" w:eastAsia="仿宋_GB2312" w:hAnsi="Times New Roman" w:hint="eastAsia"/>
          <w:color w:val="000000"/>
          <w:sz w:val="32"/>
          <w:szCs w:val="32"/>
        </w:rPr>
        <w:t>线索摸排。特别是对文化和旅游系统内部所有行使公权力干部的涉</w:t>
      </w:r>
      <w:proofErr w:type="gramStart"/>
      <w:r>
        <w:rPr>
          <w:rFonts w:ascii="Times New Roman" w:eastAsia="仿宋_GB2312" w:hAnsi="Times New Roman" w:hint="eastAsia"/>
          <w:color w:val="000000"/>
          <w:sz w:val="32"/>
          <w:szCs w:val="32"/>
        </w:rPr>
        <w:t>黑涉恶问题</w:t>
      </w:r>
      <w:proofErr w:type="gramEnd"/>
      <w:r>
        <w:rPr>
          <w:rFonts w:ascii="Times New Roman" w:eastAsia="仿宋_GB2312" w:hAnsi="Times New Roman" w:hint="eastAsia"/>
          <w:color w:val="000000"/>
          <w:sz w:val="32"/>
          <w:szCs w:val="32"/>
        </w:rPr>
        <w:t>线索，要及时配合本级纪检监察机构先行处置，深</w:t>
      </w:r>
      <w:r>
        <w:rPr>
          <w:rFonts w:ascii="Times New Roman" w:eastAsia="仿宋_GB2312" w:hAnsi="Times New Roman" w:hint="eastAsia"/>
          <w:color w:val="000000"/>
          <w:sz w:val="32"/>
          <w:szCs w:val="32"/>
        </w:rPr>
        <w:lastRenderedPageBreak/>
        <w:t>挖隐藏在干部队伍中的黑恶势力“保护伞”。</w:t>
      </w:r>
    </w:p>
    <w:p w:rsidR="000051E0" w:rsidRDefault="000051E0" w:rsidP="000051E0">
      <w:pPr>
        <w:pStyle w:val="a3"/>
        <w:adjustRightInd w:val="0"/>
        <w:snapToGrid w:val="0"/>
        <w:spacing w:line="560" w:lineRule="exact"/>
        <w:ind w:firstLineChars="200" w:firstLine="640"/>
        <w:rPr>
          <w:rFonts w:ascii="Times New Roman" w:eastAsia="仿宋_GB2312" w:hAnsi="Times New Roman" w:hint="eastAsia"/>
          <w:color w:val="000000"/>
          <w:sz w:val="32"/>
          <w:szCs w:val="32"/>
        </w:rPr>
      </w:pPr>
      <w:r>
        <w:rPr>
          <w:rFonts w:ascii="楷体_GB2312" w:eastAsia="楷体_GB2312" w:hint="eastAsia"/>
          <w:color w:val="000000"/>
          <w:sz w:val="32"/>
          <w:szCs w:val="32"/>
        </w:rPr>
        <w:t>（五）强化组织领导，增进协调联动。</w:t>
      </w:r>
      <w:r>
        <w:rPr>
          <w:rFonts w:ascii="Times New Roman" w:eastAsia="仿宋_GB2312" w:hAnsi="Times New Roman" w:hint="eastAsia"/>
          <w:color w:val="000000"/>
          <w:sz w:val="32"/>
          <w:szCs w:val="32"/>
        </w:rPr>
        <w:t>为确保全县文化和旅游行业扫黑除恶专项斗争工作有效开展，县文化旅游广电局成立扫黑除恶专项斗争领导小组，由局长、党组书记任组长，各副局长任副组长，局属各单位负责人、科室主任为成员。领导小组下设办公室，设在局综合执法和安全生产办公室，负责全县文化旅游广电系统扫黑除恶专项斗争工作统筹协调及日常工作。</w:t>
      </w:r>
      <w:r>
        <w:rPr>
          <w:rFonts w:ascii="Times New Roman" w:eastAsia="仿宋_GB2312" w:hAnsi="Times New Roman"/>
          <w:color w:val="000000"/>
          <w:sz w:val="32"/>
          <w:szCs w:val="32"/>
        </w:rPr>
        <w:t>局属各单位</w:t>
      </w:r>
      <w:r>
        <w:rPr>
          <w:rFonts w:ascii="Times New Roman" w:eastAsia="仿宋_GB2312" w:hAnsi="Times New Roman" w:hint="eastAsia"/>
          <w:color w:val="000000"/>
          <w:sz w:val="32"/>
          <w:szCs w:val="32"/>
        </w:rPr>
        <w:t>主要负责同志要切实加强组织领导，把专项斗争作为“一把手”工程来抓，强化工作措施，狠抓工作落实。对重点市场、重点领域黑恶势力线索摸排工作，要加强同有关部门、行业内部和上下级之间的协同联动，切实形成工作合力，坚决打赢扫黑除恶专项斗争这场硬仗。</w:t>
      </w:r>
    </w:p>
    <w:p w:rsidR="000051E0" w:rsidRDefault="000051E0" w:rsidP="000051E0">
      <w:pPr>
        <w:pStyle w:val="a3"/>
        <w:adjustRightInd w:val="0"/>
        <w:snapToGrid w:val="0"/>
        <w:spacing w:line="560" w:lineRule="exact"/>
        <w:ind w:firstLineChars="200" w:firstLine="640"/>
        <w:rPr>
          <w:rFonts w:ascii="Times New Roman" w:eastAsia="仿宋_GB2312" w:hAnsi="Times New Roman"/>
          <w:color w:val="000000"/>
          <w:sz w:val="32"/>
          <w:szCs w:val="32"/>
        </w:rPr>
      </w:pPr>
      <w:r>
        <w:rPr>
          <w:rFonts w:ascii="楷体" w:eastAsia="楷体" w:hAnsi="楷体" w:cs="楷体" w:hint="eastAsia"/>
          <w:color w:val="000000"/>
          <w:sz w:val="32"/>
          <w:szCs w:val="32"/>
        </w:rPr>
        <w:t>（六）加强督导检查，及时报送信息。</w:t>
      </w:r>
      <w:r>
        <w:rPr>
          <w:rFonts w:ascii="Times New Roman" w:eastAsia="仿宋_GB2312" w:hAnsi="Times New Roman" w:hint="eastAsia"/>
          <w:color w:val="000000"/>
          <w:sz w:val="32"/>
          <w:szCs w:val="32"/>
        </w:rPr>
        <w:t>局属各单位要结合各自工作实际，认真研究制定工作方案，于</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日前将本单位工作方案报局扫黑除恶领导小组办公室。每周四报送本单位扫黑除恶线索摸排表</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见附件</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，每月</w:t>
      </w: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日前报送工作小结，工作信息不少于</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篇，遇紧急情况随时报送。局属各单位要安排专人负责，按照三年专项斗争工作要求，认真收集整理工作档案，做好备查工作。局扫黑办将不定期对各单位工作开展情况进行督导检查，对工作任务不落实、档案整理不规范、宣传工作不到位、线索排查不彻底、信息报送不及时的单位和个人进行通报，约谈单位主要负责人，督查情况将列入年度目标效能考核。</w:t>
      </w:r>
    </w:p>
    <w:p w:rsidR="000051E0" w:rsidRPr="00D66855" w:rsidRDefault="000051E0" w:rsidP="000051E0">
      <w:pPr>
        <w:spacing w:line="540" w:lineRule="exact"/>
        <w:rPr>
          <w:rFonts w:ascii="仿宋_GB2312" w:eastAsia="仿宋_GB2312" w:hAnsi="黑体" w:cs="黑体" w:hint="eastAsia"/>
          <w:sz w:val="32"/>
          <w:szCs w:val="32"/>
        </w:rPr>
      </w:pPr>
      <w:r w:rsidRPr="00D66855">
        <w:rPr>
          <w:rFonts w:ascii="仿宋_GB2312" w:eastAsia="仿宋_GB2312" w:hAnsi="黑体" w:cs="黑体" w:hint="eastAsia"/>
          <w:sz w:val="32"/>
          <w:szCs w:val="32"/>
        </w:rPr>
        <w:lastRenderedPageBreak/>
        <w:t>附件2：</w:t>
      </w:r>
    </w:p>
    <w:tbl>
      <w:tblPr>
        <w:tblpPr w:leftFromText="180" w:rightFromText="180" w:vertAnchor="text" w:horzAnchor="page" w:tblpX="1252" w:tblpY="219"/>
        <w:tblOverlap w:val="never"/>
        <w:tblW w:w="0" w:type="auto"/>
        <w:tblLayout w:type="fixed"/>
        <w:tblCellMar>
          <w:left w:w="0" w:type="dxa"/>
          <w:right w:w="0" w:type="dxa"/>
        </w:tblCellMar>
        <w:tblLook w:val="0000"/>
      </w:tblPr>
      <w:tblGrid>
        <w:gridCol w:w="1183"/>
        <w:gridCol w:w="1384"/>
        <w:gridCol w:w="783"/>
        <w:gridCol w:w="970"/>
        <w:gridCol w:w="1030"/>
        <w:gridCol w:w="2222"/>
        <w:gridCol w:w="2088"/>
      </w:tblGrid>
      <w:tr w:rsidR="000051E0" w:rsidTr="00FB485C">
        <w:trPr>
          <w:trHeight w:val="885"/>
        </w:trPr>
        <w:tc>
          <w:tcPr>
            <w:tcW w:w="9660" w:type="dxa"/>
            <w:gridSpan w:val="7"/>
            <w:tcBorders>
              <w:top w:val="nil"/>
              <w:left w:val="nil"/>
              <w:bottom w:val="nil"/>
              <w:right w:val="nil"/>
            </w:tcBorders>
            <w:noWrap/>
            <w:tcMar>
              <w:top w:w="15" w:type="dxa"/>
              <w:left w:w="15" w:type="dxa"/>
              <w:right w:w="15" w:type="dxa"/>
            </w:tcMar>
            <w:vAlign w:val="center"/>
          </w:tcPr>
          <w:p w:rsidR="000051E0" w:rsidRDefault="000051E0" w:rsidP="00FB485C">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rPr>
              <w:t>平罗县扫黑除恶专项斗争线索摸排工作表</w:t>
            </w:r>
          </w:p>
        </w:tc>
      </w:tr>
      <w:tr w:rsidR="000051E0" w:rsidTr="00FB485C">
        <w:trPr>
          <w:trHeight w:val="585"/>
        </w:trPr>
        <w:tc>
          <w:tcPr>
            <w:tcW w:w="2567" w:type="dxa"/>
            <w:gridSpan w:val="2"/>
            <w:tcBorders>
              <w:top w:val="nil"/>
              <w:left w:val="nil"/>
              <w:bottom w:val="single" w:sz="4" w:space="0" w:color="000000"/>
              <w:right w:val="nil"/>
            </w:tcBorders>
            <w:noWrap/>
            <w:tcMar>
              <w:top w:w="15" w:type="dxa"/>
              <w:left w:w="15" w:type="dxa"/>
              <w:right w:w="15" w:type="dxa"/>
            </w:tcMar>
            <w:vAlign w:val="center"/>
          </w:tcPr>
          <w:p w:rsidR="000051E0" w:rsidRDefault="000051E0" w:rsidP="00FB485C">
            <w:pPr>
              <w:widowControl/>
              <w:jc w:val="left"/>
              <w:textAlignment w:val="center"/>
              <w:rPr>
                <w:rFonts w:ascii="仿宋_GB2312" w:eastAsia="仿宋_GB2312" w:hAnsi="宋体" w:cs="仿宋_GB2312" w:hint="eastAsia"/>
                <w:b/>
                <w:color w:val="000000"/>
                <w:sz w:val="26"/>
                <w:szCs w:val="26"/>
              </w:rPr>
            </w:pPr>
            <w:r>
              <w:rPr>
                <w:rFonts w:ascii="仿宋_GB2312" w:eastAsia="仿宋_GB2312" w:hAnsi="宋体" w:cs="仿宋_GB2312" w:hint="eastAsia"/>
                <w:b/>
                <w:color w:val="000000"/>
                <w:kern w:val="0"/>
                <w:sz w:val="26"/>
                <w:szCs w:val="26"/>
                <w:lang/>
              </w:rPr>
              <w:t>填表单位：</w:t>
            </w:r>
          </w:p>
        </w:tc>
        <w:tc>
          <w:tcPr>
            <w:tcW w:w="783" w:type="dxa"/>
            <w:tcBorders>
              <w:top w:val="nil"/>
              <w:left w:val="nil"/>
              <w:bottom w:val="nil"/>
              <w:right w:val="nil"/>
            </w:tcBorders>
            <w:noWrap/>
            <w:tcMar>
              <w:top w:w="15" w:type="dxa"/>
              <w:left w:w="15" w:type="dxa"/>
              <w:right w:w="15" w:type="dxa"/>
            </w:tcMar>
            <w:vAlign w:val="center"/>
          </w:tcPr>
          <w:p w:rsidR="000051E0" w:rsidRDefault="000051E0" w:rsidP="00FB485C">
            <w:pPr>
              <w:jc w:val="center"/>
              <w:rPr>
                <w:rFonts w:ascii="仿宋_GB2312" w:eastAsia="仿宋_GB2312" w:hAnsi="宋体" w:cs="仿宋_GB2312" w:hint="eastAsia"/>
                <w:b/>
                <w:color w:val="000000"/>
                <w:sz w:val="20"/>
                <w:szCs w:val="20"/>
              </w:rPr>
            </w:pPr>
          </w:p>
        </w:tc>
        <w:tc>
          <w:tcPr>
            <w:tcW w:w="970" w:type="dxa"/>
            <w:tcBorders>
              <w:top w:val="nil"/>
              <w:left w:val="nil"/>
              <w:bottom w:val="nil"/>
              <w:right w:val="nil"/>
            </w:tcBorders>
            <w:noWrap/>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b/>
                <w:color w:val="000000"/>
                <w:sz w:val="26"/>
                <w:szCs w:val="26"/>
              </w:rPr>
            </w:pPr>
            <w:r>
              <w:rPr>
                <w:rFonts w:ascii="仿宋_GB2312" w:eastAsia="仿宋_GB2312" w:hAnsi="宋体" w:cs="仿宋_GB2312" w:hint="eastAsia"/>
                <w:b/>
                <w:color w:val="000000"/>
                <w:kern w:val="0"/>
                <w:sz w:val="26"/>
                <w:szCs w:val="26"/>
                <w:lang/>
              </w:rPr>
              <w:t>填表人：</w:t>
            </w:r>
          </w:p>
        </w:tc>
        <w:tc>
          <w:tcPr>
            <w:tcW w:w="1030" w:type="dxa"/>
            <w:tcBorders>
              <w:top w:val="nil"/>
              <w:left w:val="nil"/>
              <w:bottom w:val="nil"/>
              <w:right w:val="nil"/>
            </w:tcBorders>
            <w:noWrap/>
            <w:tcMar>
              <w:top w:w="15" w:type="dxa"/>
              <w:left w:w="15" w:type="dxa"/>
              <w:right w:w="15" w:type="dxa"/>
            </w:tcMar>
            <w:vAlign w:val="center"/>
          </w:tcPr>
          <w:p w:rsidR="000051E0" w:rsidRDefault="000051E0" w:rsidP="00FB485C">
            <w:pPr>
              <w:jc w:val="center"/>
              <w:rPr>
                <w:rFonts w:ascii="仿宋_GB2312" w:eastAsia="仿宋_GB2312" w:hAnsi="宋体" w:cs="仿宋_GB2312" w:hint="eastAsia"/>
                <w:b/>
                <w:color w:val="000000"/>
                <w:sz w:val="20"/>
                <w:szCs w:val="20"/>
              </w:rPr>
            </w:pPr>
            <w:r>
              <w:rPr>
                <w:rFonts w:ascii="仿宋_GB2312" w:eastAsia="仿宋_GB2312" w:hAnsi="宋体" w:cs="仿宋_GB2312" w:hint="eastAsia"/>
                <w:b/>
                <w:color w:val="000000"/>
                <w:sz w:val="28"/>
                <w:szCs w:val="28"/>
              </w:rPr>
              <w:t xml:space="preserve"> </w:t>
            </w:r>
          </w:p>
        </w:tc>
        <w:tc>
          <w:tcPr>
            <w:tcW w:w="4310" w:type="dxa"/>
            <w:gridSpan w:val="2"/>
            <w:tcBorders>
              <w:top w:val="nil"/>
              <w:left w:val="nil"/>
              <w:bottom w:val="single" w:sz="4" w:space="0" w:color="000000"/>
              <w:right w:val="nil"/>
            </w:tcBorders>
            <w:noWrap/>
            <w:tcMar>
              <w:top w:w="15" w:type="dxa"/>
              <w:left w:w="15" w:type="dxa"/>
              <w:right w:w="15" w:type="dxa"/>
            </w:tcMar>
            <w:vAlign w:val="center"/>
          </w:tcPr>
          <w:p w:rsidR="000051E0" w:rsidRDefault="000051E0" w:rsidP="00FB485C">
            <w:pPr>
              <w:widowControl/>
              <w:ind w:firstLineChars="300" w:firstLine="783"/>
              <w:jc w:val="left"/>
              <w:textAlignment w:val="center"/>
              <w:rPr>
                <w:rFonts w:ascii="仿宋_GB2312" w:eastAsia="仿宋_GB2312" w:hAnsi="宋体" w:cs="仿宋_GB2312"/>
                <w:b/>
                <w:color w:val="000000"/>
                <w:sz w:val="26"/>
                <w:szCs w:val="26"/>
              </w:rPr>
            </w:pPr>
            <w:r>
              <w:rPr>
                <w:rFonts w:ascii="仿宋_GB2312" w:eastAsia="仿宋_GB2312" w:hAnsi="宋体" w:cs="仿宋_GB2312" w:hint="eastAsia"/>
                <w:b/>
                <w:color w:val="000000"/>
                <w:kern w:val="0"/>
                <w:sz w:val="26"/>
                <w:szCs w:val="26"/>
                <w:lang/>
              </w:rPr>
              <w:t>填表时间：    年 月 日</w:t>
            </w:r>
          </w:p>
        </w:tc>
      </w:tr>
      <w:tr w:rsidR="000051E0" w:rsidTr="00FB485C">
        <w:trPr>
          <w:trHeight w:val="750"/>
        </w:trPr>
        <w:tc>
          <w:tcPr>
            <w:tcW w:w="1183"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kern w:val="0"/>
                <w:sz w:val="22"/>
                <w:szCs w:val="22"/>
                <w:lang/>
              </w:rPr>
            </w:pPr>
            <w:r>
              <w:rPr>
                <w:rFonts w:ascii="仿宋_GB2312" w:eastAsia="仿宋_GB2312" w:hAnsi="宋体" w:cs="仿宋_GB2312" w:hint="eastAsia"/>
                <w:color w:val="000000"/>
                <w:kern w:val="0"/>
                <w:sz w:val="22"/>
                <w:szCs w:val="22"/>
                <w:lang/>
              </w:rPr>
              <w:t>复核联系人或</w:t>
            </w:r>
          </w:p>
          <w:p w:rsidR="000051E0" w:rsidRDefault="000051E0" w:rsidP="00FB485C">
            <w:pPr>
              <w:widowControl/>
              <w:jc w:val="center"/>
              <w:textAlignment w:val="center"/>
              <w:rPr>
                <w:rFonts w:ascii="仿宋_GB2312" w:eastAsia="仿宋_GB2312" w:hAnsi="宋体" w:cs="仿宋_GB2312"/>
                <w:color w:val="000000"/>
                <w:kern w:val="0"/>
                <w:sz w:val="28"/>
                <w:szCs w:val="28"/>
                <w:lang/>
              </w:rPr>
            </w:pPr>
            <w:r>
              <w:rPr>
                <w:rFonts w:ascii="仿宋_GB2312" w:eastAsia="仿宋_GB2312" w:hAnsi="宋体" w:cs="仿宋_GB2312" w:hint="eastAsia"/>
                <w:color w:val="000000"/>
                <w:kern w:val="0"/>
                <w:sz w:val="22"/>
                <w:szCs w:val="22"/>
                <w:lang/>
              </w:rPr>
              <w:t>线索陈述人</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姓名</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性别</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年龄</w:t>
            </w:r>
          </w:p>
        </w:tc>
        <w:tc>
          <w:tcPr>
            <w:tcW w:w="32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住址</w:t>
            </w: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联系方式</w:t>
            </w:r>
          </w:p>
        </w:tc>
      </w:tr>
      <w:tr w:rsidR="000051E0" w:rsidTr="00FB485C">
        <w:trPr>
          <w:trHeight w:val="585"/>
        </w:trPr>
        <w:tc>
          <w:tcPr>
            <w:tcW w:w="1183"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32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r>
      <w:tr w:rsidR="000051E0" w:rsidTr="00FB485C">
        <w:trPr>
          <w:trHeight w:val="585"/>
        </w:trPr>
        <w:tc>
          <w:tcPr>
            <w:tcW w:w="1183"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32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r>
      <w:tr w:rsidR="000051E0" w:rsidTr="00FB485C">
        <w:trPr>
          <w:trHeight w:val="750"/>
        </w:trPr>
        <w:tc>
          <w:tcPr>
            <w:tcW w:w="1183" w:type="dxa"/>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kern w:val="0"/>
                <w:sz w:val="22"/>
                <w:szCs w:val="22"/>
                <w:lang/>
              </w:rPr>
            </w:pPr>
            <w:r>
              <w:rPr>
                <w:rFonts w:ascii="仿宋_GB2312" w:eastAsia="仿宋_GB2312" w:hAnsi="宋体" w:cs="仿宋_GB2312" w:hint="eastAsia"/>
                <w:color w:val="000000"/>
                <w:kern w:val="0"/>
                <w:sz w:val="22"/>
                <w:szCs w:val="22"/>
                <w:lang/>
              </w:rPr>
              <w:t>线索相</w:t>
            </w:r>
          </w:p>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2"/>
                <w:szCs w:val="22"/>
                <w:lang/>
              </w:rPr>
              <w:t>关人员</w:t>
            </w:r>
          </w:p>
        </w:tc>
        <w:tc>
          <w:tcPr>
            <w:tcW w:w="138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姓名</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性别</w:t>
            </w:r>
          </w:p>
        </w:tc>
        <w:tc>
          <w:tcPr>
            <w:tcW w:w="20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职业</w:t>
            </w:r>
          </w:p>
        </w:tc>
        <w:tc>
          <w:tcPr>
            <w:tcW w:w="2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住址</w:t>
            </w: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联系方式</w:t>
            </w:r>
          </w:p>
        </w:tc>
      </w:tr>
      <w:tr w:rsidR="000051E0" w:rsidTr="00FB485C">
        <w:trPr>
          <w:trHeight w:val="630"/>
        </w:trPr>
        <w:tc>
          <w:tcPr>
            <w:tcW w:w="11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2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8"/>
                <w:szCs w:val="28"/>
              </w:rPr>
            </w:pPr>
          </w:p>
        </w:tc>
      </w:tr>
      <w:tr w:rsidR="000051E0" w:rsidTr="00FB485C">
        <w:trPr>
          <w:trHeight w:val="630"/>
        </w:trPr>
        <w:tc>
          <w:tcPr>
            <w:tcW w:w="11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20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2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r>
      <w:tr w:rsidR="000051E0" w:rsidTr="00FB485C">
        <w:trPr>
          <w:trHeight w:val="720"/>
        </w:trPr>
        <w:tc>
          <w:tcPr>
            <w:tcW w:w="11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20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2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c>
          <w:tcPr>
            <w:tcW w:w="20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jc w:val="center"/>
              <w:rPr>
                <w:rFonts w:ascii="仿宋_GB2312" w:eastAsia="仿宋_GB2312" w:hAnsi="宋体" w:cs="仿宋_GB2312" w:hint="eastAsia"/>
                <w:color w:val="000000"/>
                <w:sz w:val="24"/>
              </w:rPr>
            </w:pPr>
          </w:p>
        </w:tc>
      </w:tr>
      <w:tr w:rsidR="000051E0" w:rsidTr="00FB485C">
        <w:trPr>
          <w:trHeight w:val="3244"/>
        </w:trPr>
        <w:tc>
          <w:tcPr>
            <w:tcW w:w="96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051E0" w:rsidRDefault="000051E0" w:rsidP="00FB485C">
            <w:pPr>
              <w:ind w:firstLineChars="200" w:firstLine="480"/>
              <w:rPr>
                <w:rFonts w:ascii="仿宋_GB2312" w:eastAsia="仿宋_GB2312" w:hAnsi="宋体" w:cs="仿宋_GB2312" w:hint="eastAsia"/>
                <w:color w:val="000000"/>
                <w:sz w:val="24"/>
              </w:rPr>
            </w:pPr>
          </w:p>
          <w:p w:rsidR="000051E0" w:rsidRDefault="000051E0" w:rsidP="00FB485C">
            <w:pPr>
              <w:ind w:firstLineChars="100" w:firstLine="320"/>
              <w:rPr>
                <w:rFonts w:ascii="黑体" w:eastAsia="黑体" w:hAnsi="黑体" w:cs="黑体" w:hint="eastAsia"/>
                <w:color w:val="000000"/>
                <w:sz w:val="32"/>
                <w:szCs w:val="32"/>
              </w:rPr>
            </w:pPr>
            <w:r>
              <w:rPr>
                <w:rFonts w:ascii="黑体" w:eastAsia="黑体" w:hAnsi="黑体" w:cs="黑体" w:hint="eastAsia"/>
                <w:color w:val="000000"/>
                <w:sz w:val="32"/>
                <w:szCs w:val="32"/>
              </w:rPr>
              <w:t>线索详情：</w:t>
            </w:r>
          </w:p>
          <w:p w:rsidR="000051E0" w:rsidRDefault="000051E0" w:rsidP="00FB485C">
            <w:pPr>
              <w:rPr>
                <w:rFonts w:ascii="仿宋_GB2312" w:eastAsia="仿宋_GB2312" w:hAnsi="宋体" w:cs="仿宋_GB2312" w:hint="eastAsia"/>
                <w:color w:val="000000"/>
                <w:sz w:val="24"/>
              </w:rPr>
            </w:pPr>
          </w:p>
          <w:p w:rsidR="000051E0" w:rsidRDefault="000051E0" w:rsidP="00FB485C">
            <w:pPr>
              <w:ind w:firstLineChars="200" w:firstLine="480"/>
              <w:rPr>
                <w:rFonts w:ascii="仿宋_GB2312" w:eastAsia="仿宋_GB2312" w:hAnsi="宋体" w:cs="仿宋_GB2312" w:hint="eastAsia"/>
                <w:color w:val="000000"/>
                <w:sz w:val="24"/>
              </w:rPr>
            </w:pPr>
          </w:p>
          <w:p w:rsidR="000051E0" w:rsidRDefault="000051E0" w:rsidP="00FB485C">
            <w:pPr>
              <w:ind w:firstLineChars="200" w:firstLine="480"/>
              <w:jc w:val="center"/>
              <w:rPr>
                <w:rFonts w:ascii="仿宋_GB2312" w:eastAsia="仿宋_GB2312" w:hAnsi="宋体" w:cs="仿宋_GB2312" w:hint="eastAsia"/>
                <w:color w:val="000000"/>
                <w:sz w:val="24"/>
              </w:rPr>
            </w:pPr>
          </w:p>
          <w:p w:rsidR="000051E0" w:rsidRDefault="000051E0" w:rsidP="00FB485C">
            <w:pPr>
              <w:tabs>
                <w:tab w:val="left" w:pos="2052"/>
              </w:tabs>
              <w:jc w:val="left"/>
              <w:rPr>
                <w:rFonts w:hint="eastAsia"/>
              </w:rPr>
            </w:pPr>
            <w:r>
              <w:rPr>
                <w:rFonts w:ascii="仿宋_GB2312" w:eastAsia="仿宋_GB2312" w:hAnsi="宋体" w:cs="仿宋_GB2312" w:hint="eastAsia"/>
                <w:color w:val="000000"/>
                <w:sz w:val="24"/>
              </w:rPr>
              <w:t>（可另附页）</w:t>
            </w:r>
          </w:p>
        </w:tc>
      </w:tr>
      <w:tr w:rsidR="000051E0" w:rsidTr="00FB485C">
        <w:trPr>
          <w:trHeight w:val="1135"/>
        </w:trPr>
        <w:tc>
          <w:tcPr>
            <w:tcW w:w="96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spacing w:line="540" w:lineRule="exact"/>
              <w:ind w:firstLineChars="100" w:firstLine="280"/>
              <w:rPr>
                <w:rFonts w:ascii="仿宋_GB2312" w:eastAsia="仿宋_GB2312" w:hAnsi="宋体" w:cs="仿宋_GB2312" w:hint="eastAsia"/>
                <w:color w:val="000000"/>
                <w:sz w:val="24"/>
              </w:rPr>
            </w:pPr>
            <w:r>
              <w:rPr>
                <w:rFonts w:ascii="黑体" w:eastAsia="黑体" w:hAnsi="黑体" w:cs="黑体" w:hint="eastAsia"/>
                <w:color w:val="000000"/>
                <w:kern w:val="0"/>
                <w:sz w:val="28"/>
                <w:szCs w:val="28"/>
                <w:lang/>
              </w:rPr>
              <w:t>主要领导意见</w:t>
            </w:r>
            <w:r>
              <w:rPr>
                <w:rFonts w:ascii="黑体" w:eastAsia="黑体" w:hAnsi="黑体" w:cs="黑体" w:hint="eastAsia"/>
                <w:color w:val="000000"/>
                <w:kern w:val="0"/>
                <w:sz w:val="32"/>
                <w:szCs w:val="32"/>
                <w:lang/>
              </w:rPr>
              <w:t>：</w:t>
            </w:r>
          </w:p>
        </w:tc>
      </w:tr>
      <w:tr w:rsidR="000051E0" w:rsidTr="00FB485C">
        <w:trPr>
          <w:trHeight w:val="1379"/>
        </w:trPr>
        <w:tc>
          <w:tcPr>
            <w:tcW w:w="96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51E0" w:rsidRDefault="000051E0" w:rsidP="00FB485C">
            <w:pPr>
              <w:spacing w:line="540" w:lineRule="exact"/>
              <w:ind w:firstLineChars="100" w:firstLine="280"/>
              <w:jc w:val="left"/>
              <w:rPr>
                <w:rFonts w:ascii="仿宋_GB2312" w:eastAsia="仿宋_GB2312" w:hAnsi="宋体" w:cs="仿宋_GB2312" w:hint="eastAsia"/>
                <w:color w:val="000000"/>
                <w:sz w:val="24"/>
              </w:rPr>
            </w:pPr>
            <w:r>
              <w:rPr>
                <w:rFonts w:ascii="黑体" w:eastAsia="黑体" w:hAnsi="黑体" w:cs="黑体" w:hint="eastAsia"/>
                <w:color w:val="000000"/>
                <w:kern w:val="0"/>
                <w:sz w:val="28"/>
                <w:szCs w:val="28"/>
                <w:lang/>
              </w:rPr>
              <w:t>负责领导意见</w:t>
            </w:r>
            <w:r>
              <w:rPr>
                <w:rFonts w:ascii="黑体" w:eastAsia="黑体" w:hAnsi="黑体" w:cs="黑体" w:hint="eastAsia"/>
                <w:color w:val="000000"/>
                <w:kern w:val="0"/>
                <w:sz w:val="32"/>
                <w:szCs w:val="32"/>
                <w:lang/>
              </w:rPr>
              <w:t>：</w:t>
            </w:r>
          </w:p>
        </w:tc>
      </w:tr>
    </w:tbl>
    <w:p w:rsidR="000051E0" w:rsidRDefault="000051E0" w:rsidP="000051E0">
      <w:pPr>
        <w:spacing w:line="360" w:lineRule="exact"/>
        <w:rPr>
          <w:rFonts w:ascii="楷体_GB2312" w:eastAsia="楷体_GB2312" w:hAnsi="楷体_GB2312" w:cs="楷体_GB2312" w:hint="eastAsia"/>
          <w:sz w:val="24"/>
        </w:rPr>
      </w:pPr>
      <w:r>
        <w:rPr>
          <w:rFonts w:ascii="楷体_GB2312" w:eastAsia="楷体_GB2312" w:hAnsi="楷体_GB2312" w:cs="楷体_GB2312" w:hint="eastAsia"/>
          <w:sz w:val="24"/>
        </w:rPr>
        <w:t>填表说明：此表一式两份，负责领导意见一栏由分管领导签字。</w:t>
      </w:r>
    </w:p>
    <w:p w:rsidR="000051E0" w:rsidRPr="00D66855" w:rsidRDefault="000051E0" w:rsidP="000051E0">
      <w:pPr>
        <w:spacing w:line="540" w:lineRule="exact"/>
        <w:rPr>
          <w:rFonts w:ascii="仿宋_GB2312" w:eastAsia="仿宋_GB2312" w:hAnsi="黑体" w:cs="黑体" w:hint="eastAsia"/>
          <w:sz w:val="32"/>
          <w:szCs w:val="32"/>
        </w:rPr>
      </w:pPr>
      <w:r w:rsidRPr="00D66855">
        <w:rPr>
          <w:rFonts w:ascii="仿宋_GB2312" w:eastAsia="仿宋_GB2312" w:hAnsi="黑体" w:cs="黑体" w:hint="eastAsia"/>
          <w:sz w:val="32"/>
          <w:szCs w:val="32"/>
        </w:rPr>
        <w:lastRenderedPageBreak/>
        <w:t>附件3：</w:t>
      </w:r>
    </w:p>
    <w:tbl>
      <w:tblPr>
        <w:tblpPr w:leftFromText="180" w:rightFromText="180" w:vertAnchor="text" w:horzAnchor="page" w:tblpX="1187" w:tblpY="9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1264"/>
        <w:gridCol w:w="3660"/>
        <w:gridCol w:w="2843"/>
      </w:tblGrid>
      <w:tr w:rsidR="000051E0" w:rsidRPr="00FA3C10" w:rsidTr="00FB485C">
        <w:trPr>
          <w:trHeight w:val="1063"/>
        </w:trPr>
        <w:tc>
          <w:tcPr>
            <w:tcW w:w="2167"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单位名称</w:t>
            </w:r>
          </w:p>
        </w:tc>
        <w:tc>
          <w:tcPr>
            <w:tcW w:w="7767" w:type="dxa"/>
            <w:gridSpan w:val="3"/>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r>
      <w:tr w:rsidR="000051E0" w:rsidRPr="00FA3C10" w:rsidTr="00FB485C">
        <w:trPr>
          <w:trHeight w:val="1063"/>
        </w:trPr>
        <w:tc>
          <w:tcPr>
            <w:tcW w:w="2167"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填写时间</w:t>
            </w:r>
          </w:p>
        </w:tc>
        <w:tc>
          <w:tcPr>
            <w:tcW w:w="7767" w:type="dxa"/>
            <w:gridSpan w:val="3"/>
            <w:vAlign w:val="center"/>
          </w:tcPr>
          <w:p w:rsidR="000051E0" w:rsidRPr="00FA3C10" w:rsidRDefault="000051E0" w:rsidP="00FB485C">
            <w:pPr>
              <w:spacing w:line="540" w:lineRule="exact"/>
              <w:jc w:val="center"/>
              <w:rPr>
                <w:rFonts w:ascii="仿宋_GB2312" w:eastAsia="仿宋_GB2312" w:hAnsi="仿宋_GB2312" w:cs="仿宋_GB2312"/>
                <w:sz w:val="28"/>
                <w:szCs w:val="28"/>
              </w:rPr>
            </w:pPr>
          </w:p>
        </w:tc>
      </w:tr>
      <w:tr w:rsidR="000051E0" w:rsidRPr="00FA3C10" w:rsidTr="00FB485C">
        <w:trPr>
          <w:trHeight w:val="1247"/>
        </w:trPr>
        <w:tc>
          <w:tcPr>
            <w:tcW w:w="2167" w:type="dxa"/>
            <w:vMerge w:val="restart"/>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线索排查</w:t>
            </w:r>
          </w:p>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工作人员</w:t>
            </w:r>
          </w:p>
        </w:tc>
        <w:tc>
          <w:tcPr>
            <w:tcW w:w="1264"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姓  名</w:t>
            </w:r>
          </w:p>
        </w:tc>
        <w:tc>
          <w:tcPr>
            <w:tcW w:w="3660"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部  门</w:t>
            </w:r>
          </w:p>
        </w:tc>
        <w:tc>
          <w:tcPr>
            <w:tcW w:w="2843"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联系方式</w:t>
            </w:r>
          </w:p>
        </w:tc>
      </w:tr>
      <w:tr w:rsidR="000051E0" w:rsidRPr="00FA3C10" w:rsidTr="00FB485C">
        <w:trPr>
          <w:trHeight w:val="687"/>
        </w:trPr>
        <w:tc>
          <w:tcPr>
            <w:tcW w:w="2167" w:type="dxa"/>
            <w:vMerge/>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1264"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3660"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2843" w:type="dxa"/>
            <w:vAlign w:val="center"/>
          </w:tcPr>
          <w:p w:rsidR="000051E0" w:rsidRPr="00FA3C10" w:rsidRDefault="000051E0" w:rsidP="00FB485C">
            <w:pPr>
              <w:spacing w:line="540" w:lineRule="exact"/>
              <w:jc w:val="center"/>
              <w:rPr>
                <w:rFonts w:ascii="仿宋_GB2312" w:eastAsia="仿宋_GB2312" w:hAnsi="仿宋_GB2312" w:cs="仿宋_GB2312"/>
                <w:sz w:val="28"/>
                <w:szCs w:val="28"/>
              </w:rPr>
            </w:pPr>
          </w:p>
        </w:tc>
      </w:tr>
      <w:tr w:rsidR="000051E0" w:rsidRPr="00FA3C10" w:rsidTr="00FB485C">
        <w:trPr>
          <w:trHeight w:val="653"/>
        </w:trPr>
        <w:tc>
          <w:tcPr>
            <w:tcW w:w="2167" w:type="dxa"/>
            <w:vMerge/>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1264"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3660"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2843" w:type="dxa"/>
            <w:vAlign w:val="center"/>
          </w:tcPr>
          <w:p w:rsidR="000051E0" w:rsidRPr="00FA3C10" w:rsidRDefault="000051E0" w:rsidP="00FB485C">
            <w:pPr>
              <w:spacing w:line="540" w:lineRule="exact"/>
              <w:jc w:val="center"/>
              <w:rPr>
                <w:rFonts w:ascii="仿宋_GB2312" w:eastAsia="仿宋_GB2312" w:hAnsi="仿宋_GB2312" w:cs="仿宋_GB2312"/>
                <w:sz w:val="28"/>
                <w:szCs w:val="28"/>
              </w:rPr>
            </w:pPr>
          </w:p>
        </w:tc>
      </w:tr>
      <w:tr w:rsidR="000051E0" w:rsidRPr="00FA3C10" w:rsidTr="00FB485C">
        <w:trPr>
          <w:trHeight w:val="647"/>
        </w:trPr>
        <w:tc>
          <w:tcPr>
            <w:tcW w:w="2167" w:type="dxa"/>
            <w:vMerge/>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1264"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3660"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c>
          <w:tcPr>
            <w:tcW w:w="2843"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r>
      <w:tr w:rsidR="000051E0" w:rsidRPr="00FA3C10" w:rsidTr="00FB485C">
        <w:trPr>
          <w:trHeight w:val="2696"/>
        </w:trPr>
        <w:tc>
          <w:tcPr>
            <w:tcW w:w="2167"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排查区域</w:t>
            </w:r>
          </w:p>
        </w:tc>
        <w:tc>
          <w:tcPr>
            <w:tcW w:w="7767" w:type="dxa"/>
            <w:gridSpan w:val="3"/>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网吧、娱乐场所</w:t>
            </w:r>
          </w:p>
        </w:tc>
      </w:tr>
      <w:tr w:rsidR="000051E0" w:rsidRPr="00FA3C10" w:rsidTr="00FB485C">
        <w:trPr>
          <w:trHeight w:val="3624"/>
        </w:trPr>
        <w:tc>
          <w:tcPr>
            <w:tcW w:w="2167" w:type="dxa"/>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r w:rsidRPr="00FA3C10">
              <w:rPr>
                <w:rFonts w:ascii="仿宋_GB2312" w:eastAsia="仿宋_GB2312" w:hAnsi="仿宋_GB2312" w:cs="仿宋_GB2312" w:hint="eastAsia"/>
                <w:sz w:val="28"/>
                <w:szCs w:val="28"/>
              </w:rPr>
              <w:t>内  容</w:t>
            </w:r>
          </w:p>
        </w:tc>
        <w:tc>
          <w:tcPr>
            <w:tcW w:w="7767" w:type="dxa"/>
            <w:gridSpan w:val="3"/>
            <w:vAlign w:val="center"/>
          </w:tcPr>
          <w:p w:rsidR="000051E0" w:rsidRPr="00FA3C10" w:rsidRDefault="000051E0" w:rsidP="00FB485C">
            <w:pPr>
              <w:spacing w:line="540" w:lineRule="exact"/>
              <w:jc w:val="center"/>
              <w:rPr>
                <w:rFonts w:ascii="仿宋_GB2312" w:eastAsia="仿宋_GB2312" w:hAnsi="仿宋_GB2312" w:cs="仿宋_GB2312" w:hint="eastAsia"/>
                <w:sz w:val="28"/>
                <w:szCs w:val="28"/>
              </w:rPr>
            </w:pPr>
          </w:p>
        </w:tc>
      </w:tr>
    </w:tbl>
    <w:p w:rsidR="000051E0" w:rsidRDefault="000051E0" w:rsidP="000051E0">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平罗县扫黑除恶专项斗争线索排查日志</w:t>
      </w:r>
    </w:p>
    <w:p w:rsidR="000051E0" w:rsidRDefault="000051E0" w:rsidP="000051E0">
      <w:pPr>
        <w:spacing w:line="280" w:lineRule="exact"/>
        <w:jc w:val="left"/>
        <w:rPr>
          <w:rFonts w:ascii="黑体" w:eastAsia="黑体" w:hAnsi="黑体" w:cs="黑体" w:hint="eastAsia"/>
          <w:sz w:val="24"/>
        </w:rPr>
      </w:pPr>
    </w:p>
    <w:p w:rsidR="000051E0" w:rsidRDefault="000051E0" w:rsidP="000051E0">
      <w:pPr>
        <w:spacing w:line="540" w:lineRule="exact"/>
        <w:jc w:val="left"/>
        <w:rPr>
          <w:rFonts w:ascii="楷体_GB2312" w:eastAsia="楷体_GB2312" w:hAnsi="楷体_GB2312" w:cs="楷体_GB2312" w:hint="eastAsia"/>
          <w:sz w:val="24"/>
        </w:rPr>
      </w:pPr>
      <w:r>
        <w:rPr>
          <w:rFonts w:ascii="楷体_GB2312" w:eastAsia="楷体_GB2312" w:hAnsi="楷体_GB2312" w:cs="楷体_GB2312" w:hint="eastAsia"/>
          <w:sz w:val="24"/>
        </w:rPr>
        <w:t>填表说明：此表一式两份，各单位留档1份，报局扫黑办1份。</w:t>
      </w:r>
    </w:p>
    <w:p w:rsidR="004C22FF" w:rsidRPr="000051E0" w:rsidRDefault="004C22FF"/>
    <w:sectPr w:rsidR="004C22FF" w:rsidRPr="000051E0" w:rsidSect="004C22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1E0"/>
    <w:rsid w:val="000051E0"/>
    <w:rsid w:val="004C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_Style 0"/>
    <w:uiPriority w:val="1"/>
    <w:qFormat/>
    <w:rsid w:val="000051E0"/>
    <w:pPr>
      <w:widowControl w:val="0"/>
      <w:jc w:val="both"/>
    </w:pPr>
    <w:rPr>
      <w:rFonts w:ascii="Calibri" w:eastAsia="宋体" w:hAnsi="Calibri" w:cs="Times New Roman"/>
    </w:rPr>
  </w:style>
  <w:style w:type="paragraph" w:styleId="a3">
    <w:name w:val="No Spacing"/>
    <w:uiPriority w:val="1"/>
    <w:qFormat/>
    <w:rsid w:val="000051E0"/>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532</Words>
  <Characters>3038</Characters>
  <Application>Microsoft Office Word</Application>
  <DocSecurity>0</DocSecurity>
  <Lines>25</Lines>
  <Paragraphs>7</Paragraphs>
  <ScaleCrop>false</ScaleCrop>
  <Company>Microsoft</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rdbgs</dc:creator>
  <cp:lastModifiedBy>rdbgs</cp:lastModifiedBy>
  <cp:revision>1</cp:revision>
  <dcterms:created xsi:type="dcterms:W3CDTF">2019-04-19T08:56:00Z</dcterms:created>
  <dcterms:modified xsi:type="dcterms:W3CDTF">2019-04-19T08:57:00Z</dcterms:modified>
</cp:coreProperties>
</file>