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spacing w:line="600" w:lineRule="exact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平交发〔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37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号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签发人：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冯斌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平罗县交通运输局关于印发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双随机、一公开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监管工作实施方案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的通知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局属各单位（科室）：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为认真贯彻落实《国务院关于在市场监管领域全面推行部门联合“双随机、一公开”监管的意见》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（国发〔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2019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）精神，</w:t>
      </w:r>
      <w:r>
        <w:rPr>
          <w:rFonts w:hint="eastAsia" w:ascii="仿宋_GB2312" w:hAnsi="仿宋_GB2312" w:eastAsia="仿宋_GB2312" w:cs="仿宋_GB2312"/>
          <w:sz w:val="32"/>
          <w:szCs w:val="32"/>
        </w:rPr>
        <w:t>持续深化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放管服”改革，深入推进全县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交通运输</w:t>
      </w:r>
      <w:r>
        <w:rPr>
          <w:rFonts w:hint="eastAsia" w:ascii="仿宋_GB2312" w:hAnsi="仿宋_GB2312" w:eastAsia="仿宋_GB2312" w:cs="仿宋_GB2312"/>
          <w:sz w:val="32"/>
          <w:szCs w:val="32"/>
        </w:rPr>
        <w:t>“双随机、一公开”监管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根据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自治区人民政府《关于在全区市场监管领域全面推行部门联合“双随机、一公开”监管的实施意见》（宁政规发﹝2019﹞5号）和平罗县市场监管工作领导小组办公室《关于进一步强化平罗县市场监管领域部门联合“双随机、一公开”监管工作的通知》（平联合抽查发﹝2021﹞1号）文件要求，结合交通运输局工作实际，特制定本工作实施方案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主要目的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/>
        <w:jc w:val="left"/>
        <w:textAlignment w:val="auto"/>
        <w:rPr>
          <w:sz w:val="21"/>
          <w:szCs w:val="21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全县交通领域全面推行部门联合“双随机、一公开”监管。各相关部门要建立完善“一单三库”（抽查事项清单、抽查事项库、检查对象名录库、执法人员库），并完成系统录入。在做好内部双随机监管的基础上，年内要牵头开展2次以上部门联合“双随机、一公开”监管抽查。通过明确抽查事项及内容，细化抽查方式及程序，建立抽查工作机制，提升监管效能，强化市场主体的自觉、自律和社会监督，实现依法监管、公平高效、阳光行政、执法有力，创造健康有序的行业发展环境，促进交通运输业协调稳健发展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跨部门联合</w:t>
      </w:r>
      <w:r>
        <w:rPr>
          <w:rFonts w:hint="eastAsia" w:ascii="黑体" w:hAnsi="黑体" w:eastAsia="黑体" w:cs="黑体"/>
          <w:sz w:val="32"/>
          <w:szCs w:val="32"/>
        </w:rPr>
        <w:t>随机抽查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计划及</w:t>
      </w:r>
      <w:r>
        <w:rPr>
          <w:rFonts w:hint="eastAsia" w:ascii="黑体" w:hAnsi="黑体" w:eastAsia="黑体" w:cs="黑体"/>
          <w:sz w:val="32"/>
          <w:szCs w:val="32"/>
        </w:rPr>
        <w:t>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结合本部门工作实际和抽查事项清单，统筹制定本部门年度联合抽查计划，全年计划跨部门联合随机抽查2次。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3" w:firstLineChars="200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(一)客运企业安全监督检查（2021年6月）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检查内容：1.客运企业安全管理机构设立情况；客运企业召开安全生产工作会议及安全例会情况；客运企业安全生产专项资金提取使用情况；客运企业投保承运人责任险等保险情况；客运企业安全生产责任制建立情况；客运企业各项制度建立落实情况；客运企业车辆动态监控平台运行情况；客运企业安全隐患排查治理情况；客运企业应急预案制定情况。2.营业执照登记事项；3.客运车辆及驾驶员管理；4.客运企业对从业人员培训教育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牵头单位：平罗县交通运输局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878" w:leftChars="304" w:right="0" w:rightChars="0" w:hanging="2240" w:hangingChars="7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责任单位：公安局、应急管理局、市场监督管理局、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3" w:firstLineChars="200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(二)货运企业安全监督检查（2021年8月）。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检查内容：1.车辆二级维护情况；车辆检查记录、隐患治理台账；危险源清单、危险源示意图；安全费用提取记录、使用台账；车辆动态监控平台监控日志、违章处理台账；2.营业执照登记事项；3.货运企业车辆及驾驶员管理；4.从业人员安全培训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牵头单位：平罗县交通运输局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838" w:leftChars="304" w:right="0" w:rightChars="0" w:hanging="3200" w:hangingChars="10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责任单位：公安局、应急管理局、市场监督管理局、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部门内部</w:t>
      </w:r>
      <w:r>
        <w:rPr>
          <w:rFonts w:hint="eastAsia" w:ascii="黑体" w:hAnsi="黑体" w:eastAsia="黑体" w:cs="黑体"/>
          <w:sz w:val="32"/>
          <w:szCs w:val="32"/>
        </w:rPr>
        <w:t>随机抽查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计划及</w:t>
      </w:r>
      <w:r>
        <w:rPr>
          <w:rFonts w:hint="eastAsia" w:ascii="黑体" w:hAnsi="黑体" w:eastAsia="黑体" w:cs="黑体"/>
          <w:sz w:val="32"/>
          <w:szCs w:val="32"/>
        </w:rPr>
        <w:t>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结合本部门工作实际和抽查事项清单，统筹制定本部门年度内部抽查计划，全年计划内部随机抽查9次。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3" w:firstLineChars="200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（一）内河交通安全监督检查（2021年5月）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检查内容：企业安全机构及人员资质；安全生产设施设备(消防设施、救生设备)；安全生产企业主体责任落实情况；安全生产专项行动开展情兄；安全生产费用使用管理情况；危险源辨识、评估、监控情况；安全隐患排查治理情况；应急救援处置能力情况；规章制度(安全责任制度、教育培训制度、隐患排查治理制度、安全例会制度、开航前检查制度）；安全生产责任追究情况；码头、浮桥等船舶营运现场安全设施及人员到位情况；船舶证书及航行材料是否齐全、系缆设备是否牢固可靠、是否按国家规定对船舶进行维护保养、是否保持良好的技术状态、是否在规定的水域内航行、停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3" w:firstLineChars="200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（二）公路工程安全监督检查（2021年7月）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进入生产经营单位进行检查，调阅有关资料，向有关单位和人员了解情况；2.对检查中发现的安全生产违法行为，当场予以纠正或者要求限期改正；对依法应当给予行政处罚的行为，依照本法和其他有关法律、行政法规的规定作出行政处罚决定；3.对检查中发现的事故隐患，应当责令立即排除；重大事故隐患排除前或过程中无法保证安全的，应当责令从危险区域内撤出作业人员，责令暂时停产停业或停止使用相关设施、设备；重大隐患排除后，经审查同意，方可恢复生产经营和使用；4.对有根据认为不符合保障安全生产的国家标准或行业标准的设施、设备、器材以及违法生产、储存、使用、经营、运输的危险物品予以查封或者扣押，对违法生产、储存、使用、经营危险物品的作业场所予以查封，并依法作出处理决定；5.依法对违法行为予以行政处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3" w:firstLineChars="200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（三）客运企业安全监督检查（2021年3月、9月、12月）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客运企业安全管理机构设立情况；2.客运企业召开安全生产工作会议及安全例会情况；3.客运企业安全生产专项资金提取使用情况；4.客运企业投保承运人责任险等保险情况；5.客运企业安全生产责任制建立情况；6.客运企业各项制度建立落实情况；7.客运企业车辆动态监控平台运行情况；8.客运企业对从业人员培训教育情况；9.客运企业安全隐患排查治理情况；10.客运企业应急预案制定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3" w:firstLineChars="200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（四）货运企业安全监督检查（2021年2月、4月、10月、11月）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车辆二级维护情况；从业人员安全教育培训记录；车辆检查记录、隐患治理台账；危险源清单、危险源示意图；安全费用提取记录、使用台账；车辆动态监控平台监控日志、违章处理台账。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五</w:t>
      </w:r>
      <w:r>
        <w:rPr>
          <w:rFonts w:hint="eastAsia" w:ascii="黑体" w:hAnsi="黑体" w:eastAsia="黑体" w:cs="黑体"/>
          <w:sz w:val="32"/>
          <w:szCs w:val="32"/>
        </w:rPr>
        <w:t>、工作要求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(一)加强组织领导。</w:t>
      </w:r>
      <w:r>
        <w:rPr>
          <w:rFonts w:hint="eastAsia" w:ascii="仿宋_GB2312" w:hAnsi="仿宋_GB2312" w:eastAsia="仿宋_GB2312" w:cs="仿宋_GB2312"/>
          <w:sz w:val="32"/>
          <w:szCs w:val="32"/>
        </w:rPr>
        <w:t>成立由局长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冯斌</w:t>
      </w:r>
      <w:r>
        <w:rPr>
          <w:rFonts w:hint="eastAsia" w:ascii="仿宋_GB2312" w:hAnsi="仿宋_GB2312" w:eastAsia="仿宋_GB2312" w:cs="仿宋_GB2312"/>
          <w:sz w:val="32"/>
          <w:szCs w:val="32"/>
        </w:rPr>
        <w:t>任组长，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副局长闫占清</w:t>
      </w:r>
      <w:r>
        <w:rPr>
          <w:rFonts w:hint="eastAsia" w:ascii="仿宋_GB2312" w:hAnsi="仿宋_GB2312" w:eastAsia="仿宋_GB2312" w:cs="仿宋_GB2312"/>
          <w:sz w:val="32"/>
          <w:szCs w:val="32"/>
        </w:rPr>
        <w:t>任副组长，局属各单位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（科</w:t>
      </w:r>
      <w:r>
        <w:rPr>
          <w:rFonts w:hint="eastAsia" w:ascii="仿宋_GB2312" w:hAnsi="仿宋_GB2312" w:eastAsia="仿宋_GB2312" w:cs="仿宋_GB2312"/>
          <w:sz w:val="32"/>
          <w:szCs w:val="32"/>
        </w:rPr>
        <w:t>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）、交通运输综合执法大队</w:t>
      </w:r>
      <w:r>
        <w:rPr>
          <w:rFonts w:hint="eastAsia" w:ascii="仿宋_GB2312" w:hAnsi="仿宋_GB2312" w:eastAsia="仿宋_GB2312" w:cs="仿宋_GB2312"/>
          <w:sz w:val="32"/>
          <w:szCs w:val="32"/>
        </w:rPr>
        <w:t>主要负责人为成员的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“双随机、一公开”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工作领导小组，全面负责组织、协调和调度工作。进一步深化对“双随机、一公开”监管工作重要性的认识，切实加强组织领导，细化工作流程，实化工作措施，全力以赴抓好落实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领导小组下设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"http://www.shangxueba.com/fanwen/tag317.html" \o "办公室工作计划范文" \t "http://www.shangxueba.com/fanwen/_blank"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办公室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，办公室设在局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安委办</w:t>
      </w:r>
      <w:r>
        <w:rPr>
          <w:rFonts w:hint="eastAsia" w:ascii="仿宋_GB2312" w:hAnsi="仿宋_GB2312" w:eastAsia="仿宋_GB2312" w:cs="仿宋_GB2312"/>
          <w:sz w:val="32"/>
          <w:szCs w:val="32"/>
        </w:rPr>
        <w:t>，办公室主任由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张兴和</w:t>
      </w:r>
      <w:r>
        <w:rPr>
          <w:rFonts w:hint="eastAsia" w:ascii="仿宋_GB2312" w:hAnsi="仿宋_GB2312" w:eastAsia="仿宋_GB2312" w:cs="仿宋_GB2312"/>
          <w:sz w:val="32"/>
          <w:szCs w:val="32"/>
        </w:rPr>
        <w:t>兼任。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(二)搞好统筹协调。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局属各单位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要充分发挥机构改革的整体效应，强化监管工作融合，完善条线监管，加强指导、协调与调度，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配合局安委办做</w:t>
      </w:r>
      <w:r>
        <w:rPr>
          <w:rFonts w:hint="eastAsia" w:ascii="仿宋_GB2312" w:hAnsi="仿宋_GB2312" w:eastAsia="仿宋_GB2312" w:cs="仿宋_GB2312"/>
          <w:sz w:val="32"/>
          <w:szCs w:val="32"/>
        </w:rPr>
        <w:t>好本部门“双随机、一公开”监管工作的推进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(三)严格落实责任。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局属各单位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要进一步增强责任意识，对未履行、不当履行、违法履行“双随机、一公开”监管职责的，要依法依规严肃处理；涉嫌犯罪的，移送司法机关追究刑事责任。同时，要坚持“尽职照单免责，失职照单问责”原则，执法检查人员凡严格依据抽查事项清单和相关工作制度开展“双随机、一公开”监管，检查对象未被抽到或抽到时未查出问题，只要执法检查人员不存在滥用职权、徇私舞弊等情形的，免予追究相关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(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四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)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加强“一单三库”报送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局属各单位请于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4月7日前将监管对象名录库和执法人员库上报局安委办，局安委办根据上报信息更新录入“双随机、一公开”系统。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right="0" w:rightChars="0"/>
        <w:jc w:val="both"/>
        <w:textAlignment w:val="auto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1918" w:leftChars="304" w:right="0" w:rightChars="0" w:hanging="1280" w:hangingChars="400"/>
        <w:jc w:val="both"/>
        <w:textAlignment w:val="auto"/>
        <w:outlineLvl w:val="9"/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附件：1.2021年度“双随机、一公开”工作计划（部门联合）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1916" w:leftChars="760" w:right="0" w:rightChars="0" w:hanging="320" w:hangingChars="100"/>
        <w:jc w:val="both"/>
        <w:textAlignment w:val="auto"/>
        <w:outlineLvl w:val="9"/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2.2021年度“双随机、一公开”工作计划（部门内部）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平罗县交通运输局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2021年3月30日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rPr>
          <w:rFonts w:hint="eastAsia" w:ascii="仿宋_GB2312" w:hAnsi="宋体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（此件公开发布）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宋体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0" w:firstLineChars="0"/>
        <w:jc w:val="both"/>
        <w:textAlignment w:val="auto"/>
        <w:rPr>
          <w:rFonts w:hint="eastAsi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0" w:firstLineChars="0"/>
        <w:jc w:val="both"/>
        <w:textAlignment w:val="auto"/>
        <w:rPr>
          <w:rFonts w:hint="eastAsi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0" w:firstLineChars="0"/>
        <w:jc w:val="both"/>
        <w:textAlignment w:val="auto"/>
        <w:rPr>
          <w:rFonts w:hint="eastAsia"/>
        </w:rPr>
      </w:pPr>
    </w:p>
    <w:tbl>
      <w:tblPr>
        <w:tblStyle w:val="11"/>
        <w:tblW w:w="88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820" w:type="dxa"/>
            <w:tcBorders>
              <w:left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平罗县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交通运输局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     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20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30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日印发</w:t>
            </w:r>
          </w:p>
        </w:tc>
      </w:tr>
    </w:tbl>
    <w:p>
      <w:pPr>
        <w:pStyle w:val="2"/>
        <w:ind w:left="0" w:leftChars="0" w:firstLine="0" w:firstLineChars="0"/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sectPr>
          <w:footerReference r:id="rId4" w:type="first"/>
          <w:footerReference r:id="rId3" w:type="default"/>
          <w:pgSz w:w="11906" w:h="16838"/>
          <w:pgMar w:top="2098" w:right="1474" w:bottom="1984" w:left="1587" w:header="851" w:footer="992" w:gutter="0"/>
          <w:pgNumType w:fmt="numberInDash"/>
          <w:cols w:space="425" w:num="1"/>
          <w:titlePg/>
          <w:docGrid w:type="lines" w:linePitch="312" w:charSpace="0"/>
        </w:sectPr>
      </w:pPr>
    </w:p>
    <w:p>
      <w:pPr>
        <w:pStyle w:val="2"/>
        <w:ind w:left="0" w:leftChars="0" w:firstLine="0" w:firstLineChars="0"/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附件1</w:t>
      </w:r>
    </w:p>
    <w:p>
      <w:pPr>
        <w:pStyle w:val="2"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2021年度“双随机、一公开”工作计划（部门联合）</w:t>
      </w:r>
    </w:p>
    <w:tbl>
      <w:tblPr>
        <w:tblStyle w:val="12"/>
        <w:tblpPr w:leftFromText="180" w:rightFromText="180" w:vertAnchor="text" w:horzAnchor="page" w:tblpX="908" w:tblpY="725"/>
        <w:tblOverlap w:val="never"/>
        <w:tblW w:w="153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900"/>
        <w:gridCol w:w="7170"/>
        <w:gridCol w:w="930"/>
        <w:gridCol w:w="840"/>
        <w:gridCol w:w="885"/>
        <w:gridCol w:w="1200"/>
        <w:gridCol w:w="1155"/>
        <w:gridCol w:w="1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84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9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抽查项目</w:t>
            </w:r>
          </w:p>
        </w:tc>
        <w:tc>
          <w:tcPr>
            <w:tcW w:w="717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抽查内容</w:t>
            </w:r>
          </w:p>
        </w:tc>
        <w:tc>
          <w:tcPr>
            <w:tcW w:w="9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抽查比例</w:t>
            </w:r>
          </w:p>
        </w:tc>
        <w:tc>
          <w:tcPr>
            <w:tcW w:w="84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抽查方式</w:t>
            </w:r>
          </w:p>
        </w:tc>
        <w:tc>
          <w:tcPr>
            <w:tcW w:w="88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抽查范围</w:t>
            </w:r>
          </w:p>
        </w:tc>
        <w:tc>
          <w:tcPr>
            <w:tcW w:w="12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抽查实施时间</w:t>
            </w:r>
          </w:p>
        </w:tc>
        <w:tc>
          <w:tcPr>
            <w:tcW w:w="11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实施联查牵头单位</w:t>
            </w:r>
          </w:p>
        </w:tc>
        <w:tc>
          <w:tcPr>
            <w:tcW w:w="139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实施联查参与单位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9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客运企业安全监督检查</w:t>
            </w:r>
          </w:p>
        </w:tc>
        <w:tc>
          <w:tcPr>
            <w:tcW w:w="717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.客运企业安全管理机构设立情况：客运企业召开安全生产工作会议及安全例会情况；客运企业安全生产专项资金提取使用情况：客运企业安全业投保承运人责任险等保险情况：客运企业安全生产责任制建立情脸查况：客运企业各项制度建立落实情况；客运企业车辆动态监控平台运行情况：客运企业安全隐患排查治理情况；客运企业应急预案制定情50况。2</w:t>
            </w:r>
            <w:r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营业执照登记事项</w:t>
            </w:r>
            <w:r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3</w:t>
            </w:r>
            <w:r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客运车辆及驾驶员管理；4。客运企业对从业人员培训教育情况</w:t>
            </w:r>
            <w:r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。</w:t>
            </w:r>
          </w:p>
        </w:tc>
        <w:tc>
          <w:tcPr>
            <w:tcW w:w="9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50％</w:t>
            </w:r>
          </w:p>
        </w:tc>
        <w:tc>
          <w:tcPr>
            <w:tcW w:w="84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随机</w:t>
            </w:r>
          </w:p>
        </w:tc>
        <w:tc>
          <w:tcPr>
            <w:tcW w:w="88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全县</w:t>
            </w:r>
          </w:p>
        </w:tc>
        <w:tc>
          <w:tcPr>
            <w:tcW w:w="12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2021.6</w:t>
            </w:r>
          </w:p>
        </w:tc>
        <w:tc>
          <w:tcPr>
            <w:tcW w:w="11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平罗县交通运输局</w:t>
            </w:r>
          </w:p>
        </w:tc>
        <w:tc>
          <w:tcPr>
            <w:tcW w:w="139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公安局、应急管理局、市场监督管理局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9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货运企业安全监督检查（危货）</w:t>
            </w:r>
          </w:p>
        </w:tc>
        <w:tc>
          <w:tcPr>
            <w:tcW w:w="717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</w:t>
            </w:r>
            <w:r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车辆二级维护情况；车辆检查记录、隐患治理台账；危险源清单</w:t>
            </w:r>
            <w:r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、危险源示意图；安全费用提取记录、使用台账；车辆动态监控平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台</w:t>
            </w:r>
            <w:r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控日志、违章处理台账</w:t>
            </w:r>
            <w:r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</w:t>
            </w:r>
            <w:r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营业执照登记事项；3货运企业车辆及驾驶员管理；4从业人员安全培训：</w:t>
            </w:r>
          </w:p>
        </w:tc>
        <w:tc>
          <w:tcPr>
            <w:tcW w:w="9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50％</w:t>
            </w:r>
          </w:p>
        </w:tc>
        <w:tc>
          <w:tcPr>
            <w:tcW w:w="84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随机</w:t>
            </w:r>
          </w:p>
        </w:tc>
        <w:tc>
          <w:tcPr>
            <w:tcW w:w="88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全县</w:t>
            </w:r>
          </w:p>
        </w:tc>
        <w:tc>
          <w:tcPr>
            <w:tcW w:w="12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2021.8</w:t>
            </w:r>
          </w:p>
        </w:tc>
        <w:tc>
          <w:tcPr>
            <w:tcW w:w="11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平罗县交通运输局</w:t>
            </w:r>
          </w:p>
        </w:tc>
        <w:tc>
          <w:tcPr>
            <w:tcW w:w="139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公安局、应急管理局、市场监督管理局</w:t>
            </w:r>
          </w:p>
        </w:tc>
      </w:tr>
    </w:tbl>
    <w:p>
      <w:pPr>
        <w:pStyle w:val="2"/>
        <w:ind w:left="0" w:leftChars="0" w:firstLine="0" w:firstLineChars="0"/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附件2</w:t>
      </w:r>
    </w:p>
    <w:p>
      <w:pPr>
        <w:pStyle w:val="2"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2021年度“双随机、一公开”工作计划（部门内部）</w:t>
      </w:r>
    </w:p>
    <w:tbl>
      <w:tblPr>
        <w:tblStyle w:val="12"/>
        <w:tblW w:w="15345" w:type="dxa"/>
        <w:tblInd w:w="-10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870"/>
        <w:gridCol w:w="7185"/>
        <w:gridCol w:w="945"/>
        <w:gridCol w:w="825"/>
        <w:gridCol w:w="885"/>
        <w:gridCol w:w="1215"/>
        <w:gridCol w:w="1185"/>
        <w:gridCol w:w="1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870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870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抽查项目</w:t>
            </w:r>
          </w:p>
        </w:tc>
        <w:tc>
          <w:tcPr>
            <w:tcW w:w="7185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抽查内容</w:t>
            </w:r>
          </w:p>
        </w:tc>
        <w:tc>
          <w:tcPr>
            <w:tcW w:w="945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抽查比例</w:t>
            </w:r>
          </w:p>
        </w:tc>
        <w:tc>
          <w:tcPr>
            <w:tcW w:w="825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抽查方式</w:t>
            </w:r>
          </w:p>
        </w:tc>
        <w:tc>
          <w:tcPr>
            <w:tcW w:w="885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抽查范围</w:t>
            </w:r>
          </w:p>
        </w:tc>
        <w:tc>
          <w:tcPr>
            <w:tcW w:w="1215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抽查实施时间</w:t>
            </w:r>
          </w:p>
        </w:tc>
        <w:tc>
          <w:tcPr>
            <w:tcW w:w="1185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组织抽查单位</w:t>
            </w:r>
          </w:p>
        </w:tc>
        <w:tc>
          <w:tcPr>
            <w:tcW w:w="1365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实施抽查单位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ind w:left="0" w:leftChars="0" w:right="0" w:rightChars="0" w:firstLine="210" w:firstLineChars="10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87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货运企业安全监督检查（危货）</w:t>
            </w:r>
          </w:p>
        </w:tc>
        <w:tc>
          <w:tcPr>
            <w:tcW w:w="718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车辆二级维护</w:t>
            </w:r>
            <w:r>
              <w:rPr>
                <w:rFonts w:hint="eastAsia" w:ascii="仿宋_GB2312" w:hAnsi="仿宋_GB2312" w:cs="仿宋_GB2312"/>
                <w:sz w:val="21"/>
                <w:szCs w:val="21"/>
                <w:vertAlign w:val="baseline"/>
                <w:lang w:val="en-US" w:eastAsia="zh-CN"/>
              </w:rPr>
              <w:t>情况；从业人员安全教育培训记录、隐患治理台账；危险源清单、危险源示意图；安全费用提取记录、使用台账；车辆动态监控平台监控日志、违章处理台账。</w:t>
            </w:r>
          </w:p>
        </w:tc>
        <w:tc>
          <w:tcPr>
            <w:tcW w:w="94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50％</w:t>
            </w:r>
          </w:p>
        </w:tc>
        <w:tc>
          <w:tcPr>
            <w:tcW w:w="82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随机</w:t>
            </w:r>
          </w:p>
        </w:tc>
        <w:tc>
          <w:tcPr>
            <w:tcW w:w="88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全县</w:t>
            </w:r>
          </w:p>
        </w:tc>
        <w:tc>
          <w:tcPr>
            <w:tcW w:w="121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2021.2</w:t>
            </w:r>
          </w:p>
        </w:tc>
        <w:tc>
          <w:tcPr>
            <w:tcW w:w="118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平罗县交通运输局</w:t>
            </w:r>
          </w:p>
        </w:tc>
        <w:tc>
          <w:tcPr>
            <w:tcW w:w="136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平罗县交通运输局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2.</w:t>
            </w:r>
          </w:p>
        </w:tc>
        <w:tc>
          <w:tcPr>
            <w:tcW w:w="87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客运企业安全监督检查</w:t>
            </w:r>
          </w:p>
        </w:tc>
        <w:tc>
          <w:tcPr>
            <w:tcW w:w="718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.客运企业安全管理机构设立情况；2.客运企业召开安全生产工作会议及安全例会情况；3.客运企业业安安全生产专项资金提取使用情况；4.客运企业投保承运人责任险等保险情况；5.客运企业安全生产责查任制建立情况；6.客运企业各项制度建立落实情况:7.客运企业车辆动态监控平台运行情况；8.客运企业对从业人员培训教育情况:9客运企业安全隐患排查治理情况；10.客运企业应急预案制定情况。</w:t>
            </w:r>
          </w:p>
        </w:tc>
        <w:tc>
          <w:tcPr>
            <w:tcW w:w="94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50％</w:t>
            </w:r>
          </w:p>
        </w:tc>
        <w:tc>
          <w:tcPr>
            <w:tcW w:w="82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随机</w:t>
            </w:r>
          </w:p>
        </w:tc>
        <w:tc>
          <w:tcPr>
            <w:tcW w:w="88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全县</w:t>
            </w:r>
          </w:p>
        </w:tc>
        <w:tc>
          <w:tcPr>
            <w:tcW w:w="121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2021.</w:t>
            </w:r>
            <w:r>
              <w:rPr>
                <w:rFonts w:hint="eastAsia" w:ascii="仿宋_GB2312" w:hAnsi="仿宋_GB2312" w:cs="仿宋_GB2312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18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平罗县交通运输局</w:t>
            </w:r>
          </w:p>
        </w:tc>
        <w:tc>
          <w:tcPr>
            <w:tcW w:w="136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平罗县交通运输局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</w:trPr>
        <w:tc>
          <w:tcPr>
            <w:tcW w:w="870" w:type="dxa"/>
            <w:vAlign w:val="center"/>
          </w:tcPr>
          <w:p>
            <w:pPr>
              <w:pStyle w:val="2"/>
              <w:tabs>
                <w:tab w:val="center" w:pos="327"/>
              </w:tabs>
              <w:ind w:left="0" w:leftChars="0" w:firstLine="210" w:firstLineChars="100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870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货运企业安全减粗检查（普货）</w:t>
            </w:r>
          </w:p>
        </w:tc>
        <w:tc>
          <w:tcPr>
            <w:tcW w:w="7185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车辆二级维护情况</w:t>
            </w:r>
            <w:r>
              <w:rPr>
                <w:rFonts w:hint="eastAsia" w:ascii="仿宋_GB2312" w:hAnsi="仿宋_GB2312" w:cs="仿宋_GB2312"/>
                <w:sz w:val="21"/>
                <w:szCs w:val="21"/>
                <w:vertAlign w:val="baseline"/>
                <w:lang w:val="en-US"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从业人员安全教育培训记录</w:t>
            </w:r>
            <w:r>
              <w:rPr>
                <w:rFonts w:hint="eastAsia" w:ascii="仿宋_GB2312" w:hAnsi="仿宋_GB2312" w:cs="仿宋_GB2312"/>
                <w:sz w:val="21"/>
                <w:szCs w:val="21"/>
                <w:vertAlign w:val="baseline"/>
                <w:lang w:val="en-US"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车辆检查记录、隐患治理台账：危险源清单、危险源示意图；安全费用提取记录、使用台账：车辆动态监控平台监控日志、违章处理台账。</w:t>
            </w:r>
          </w:p>
        </w:tc>
        <w:tc>
          <w:tcPr>
            <w:tcW w:w="94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50％</w:t>
            </w:r>
          </w:p>
        </w:tc>
        <w:tc>
          <w:tcPr>
            <w:tcW w:w="82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随机</w:t>
            </w:r>
          </w:p>
        </w:tc>
        <w:tc>
          <w:tcPr>
            <w:tcW w:w="88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全县</w:t>
            </w:r>
          </w:p>
        </w:tc>
        <w:tc>
          <w:tcPr>
            <w:tcW w:w="121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2021.</w:t>
            </w:r>
            <w:r>
              <w:rPr>
                <w:rFonts w:hint="eastAsia" w:ascii="仿宋_GB2312" w:hAnsi="仿宋_GB2312" w:cs="仿宋_GB2312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18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平罗县交通运输局</w:t>
            </w:r>
          </w:p>
        </w:tc>
        <w:tc>
          <w:tcPr>
            <w:tcW w:w="136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平罗县交通运输局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pStyle w:val="2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  <w:p>
            <w:pPr>
              <w:ind w:firstLine="210" w:firstLineChars="10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870" w:type="dxa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内河交通安全监督检查</w:t>
            </w:r>
          </w:p>
        </w:tc>
        <w:tc>
          <w:tcPr>
            <w:tcW w:w="7185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企业安全机枃及人员资质：安全生产设施设备(消防设施、救生设备)；安全生产企业主体责任落实情况；安全生产专项行动开展情况；安全生产费用使用管理情况；危险源辨识、评估、监控情：安全隐患排查治理情况；应急救援处置能力情况；规章制度(安全责任制度、教育培训制度、隐患排查治理制度、安全例会制度、开航前检查制度)；安全生产责任追究情况；码头、浮桥等船舶营运现场安全设施及人员到位情况：船舶证书及航行材料是否齐全、系缆设备是否牢固可靠、是否按国家规定对船舶进行维护保养、是否保持良好的技术状态、是否在规定的水域内航行、停泊</w:t>
            </w:r>
            <w:r>
              <w:rPr>
                <w:rFonts w:hint="eastAsia" w:ascii="仿宋_GB2312" w:hAnsi="仿宋_GB2312" w:cs="仿宋_GB2312"/>
                <w:sz w:val="21"/>
                <w:szCs w:val="21"/>
                <w:vertAlign w:val="baseline"/>
                <w:lang w:val="en-US" w:eastAsia="zh-CN"/>
              </w:rPr>
              <w:t>。</w:t>
            </w:r>
          </w:p>
        </w:tc>
        <w:tc>
          <w:tcPr>
            <w:tcW w:w="94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50％</w:t>
            </w:r>
          </w:p>
        </w:tc>
        <w:tc>
          <w:tcPr>
            <w:tcW w:w="82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随机</w:t>
            </w:r>
          </w:p>
        </w:tc>
        <w:tc>
          <w:tcPr>
            <w:tcW w:w="88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全县</w:t>
            </w:r>
          </w:p>
        </w:tc>
        <w:tc>
          <w:tcPr>
            <w:tcW w:w="121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2021.</w:t>
            </w:r>
            <w:r>
              <w:rPr>
                <w:rFonts w:hint="eastAsia" w:ascii="仿宋_GB2312" w:hAnsi="仿宋_GB2312" w:cs="仿宋_GB2312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118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平罗县交通运输局</w:t>
            </w:r>
          </w:p>
        </w:tc>
        <w:tc>
          <w:tcPr>
            <w:tcW w:w="136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平罗县交通运输局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6" w:hRule="atLeast"/>
        </w:trPr>
        <w:tc>
          <w:tcPr>
            <w:tcW w:w="870" w:type="dxa"/>
          </w:tcPr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ind w:firstLine="210" w:firstLineChars="10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公路工程安全监督检查</w:t>
            </w:r>
          </w:p>
        </w:tc>
        <w:tc>
          <w:tcPr>
            <w:tcW w:w="7185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vertAlign w:val="baseline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进入生产经营单位进行检查，调阅有关料，向有关单位和人员了解情况；2</w:t>
            </w:r>
            <w:r>
              <w:rPr>
                <w:rFonts w:hint="eastAsia" w:ascii="仿宋_GB2312" w:hAnsi="仿宋_GB2312" w:cs="仿宋_GB2312"/>
                <w:sz w:val="21"/>
                <w:szCs w:val="21"/>
                <w:vertAlign w:val="baseline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对检查中发现的安全生产违法行为，当场予以纠正或者要求限期改正；对依法应当给予行政处罚的行为，依照本法和其他有安/关法律、行政法规的规定作出行政处罚决定</w:t>
            </w:r>
            <w:r>
              <w:rPr>
                <w:rFonts w:hint="eastAsia" w:ascii="仿宋_GB2312" w:hAnsi="仿宋_GB2312" w:cs="仿宋_GB2312"/>
                <w:sz w:val="21"/>
                <w:szCs w:val="21"/>
                <w:vertAlign w:val="baseline"/>
                <w:lang w:val="en-US"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</w:t>
            </w:r>
            <w:r>
              <w:rPr>
                <w:rFonts w:hint="eastAsia" w:ascii="仿宋_GB2312" w:hAnsi="仿宋_GB2312" w:cs="仿宋_GB2312"/>
                <w:sz w:val="21"/>
                <w:szCs w:val="21"/>
                <w:vertAlign w:val="baseline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对检查中发现的事故隐患，应当责令立即排除：重大事故隐患排除前或过程中无法保证安全的，应当责令从危险区域内撤出作业人员，责令暂时停产停业5C 或停止使用相关设施、设备：重大隐患排除后，经审查同意，方可恢复生产经营和使用</w:t>
            </w:r>
            <w:r>
              <w:rPr>
                <w:rFonts w:hint="eastAsia" w:ascii="仿宋_GB2312" w:hAnsi="仿宋_GB2312" w:cs="仿宋_GB2312"/>
                <w:sz w:val="21"/>
                <w:szCs w:val="21"/>
                <w:vertAlign w:val="baseline"/>
                <w:lang w:val="en-US"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4</w:t>
            </w:r>
            <w:r>
              <w:rPr>
                <w:rFonts w:hint="eastAsia" w:ascii="仿宋_GB2312" w:hAnsi="仿宋_GB2312" w:cs="仿宋_GB2312"/>
                <w:sz w:val="21"/>
                <w:szCs w:val="21"/>
                <w:vertAlign w:val="baseline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对有根据认为不符合保障安全生产的家家标准或行业标准的设施、设备、器材以及违法生产储存、使用、经营、运输的危险物品予以查封或者扣押，对违法生产、储存、使用、经营危险物品的作业场所予以查封，并依法作出处理决定</w:t>
            </w:r>
            <w:r>
              <w:rPr>
                <w:rFonts w:hint="eastAsia" w:ascii="仿宋_GB2312" w:hAnsi="仿宋_GB2312" w:cs="仿宋_GB2312"/>
                <w:sz w:val="21"/>
                <w:szCs w:val="21"/>
                <w:vertAlign w:val="baseline"/>
                <w:lang w:val="en-US"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5</w:t>
            </w:r>
            <w:r>
              <w:rPr>
                <w:rFonts w:hint="eastAsia" w:ascii="仿宋_GB2312" w:hAnsi="仿宋_GB2312" w:cs="仿宋_GB2312"/>
                <w:sz w:val="21"/>
                <w:szCs w:val="21"/>
                <w:vertAlign w:val="baseline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依法对违法行为予以行政处罚。</w:t>
            </w:r>
          </w:p>
        </w:tc>
        <w:tc>
          <w:tcPr>
            <w:tcW w:w="94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50％</w:t>
            </w:r>
          </w:p>
        </w:tc>
        <w:tc>
          <w:tcPr>
            <w:tcW w:w="82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随机</w:t>
            </w:r>
          </w:p>
        </w:tc>
        <w:tc>
          <w:tcPr>
            <w:tcW w:w="88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全县</w:t>
            </w:r>
          </w:p>
        </w:tc>
        <w:tc>
          <w:tcPr>
            <w:tcW w:w="121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2021.</w:t>
            </w:r>
            <w:r>
              <w:rPr>
                <w:rFonts w:hint="eastAsia" w:ascii="仿宋_GB2312" w:hAnsi="仿宋_GB2312" w:cs="仿宋_GB2312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118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平罗县交通运输局</w:t>
            </w:r>
          </w:p>
        </w:tc>
        <w:tc>
          <w:tcPr>
            <w:tcW w:w="136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平罗县交通运输局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ind w:firstLine="210" w:firstLineChars="10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870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客运企业安全监督检查</w:t>
            </w:r>
          </w:p>
        </w:tc>
        <w:tc>
          <w:tcPr>
            <w:tcW w:w="718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.客运企业安全管理机构设立情况；2.客运企业召开安全生产工作会议及安全例会情况:3.客运企业安安全生产专项资金提取使用情况；4客运企业投保承运人责任险等保险情况；5.客运企业安全生产责查任制建立情况；6.客运企业各项制度建立落实情况；7.客运企业车辆动态监控平台运行情况；8.客运企业对从业人员培训教育情况；9.客运企业安全隐患排查治理情况；10.客运企业应急预案制定情况。</w:t>
            </w:r>
          </w:p>
        </w:tc>
        <w:tc>
          <w:tcPr>
            <w:tcW w:w="94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50％</w:t>
            </w:r>
          </w:p>
        </w:tc>
        <w:tc>
          <w:tcPr>
            <w:tcW w:w="82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随机</w:t>
            </w:r>
          </w:p>
        </w:tc>
        <w:tc>
          <w:tcPr>
            <w:tcW w:w="88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全县</w:t>
            </w:r>
          </w:p>
        </w:tc>
        <w:tc>
          <w:tcPr>
            <w:tcW w:w="121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2021.9</w:t>
            </w:r>
          </w:p>
        </w:tc>
        <w:tc>
          <w:tcPr>
            <w:tcW w:w="118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平罗县交通运输局</w:t>
            </w:r>
          </w:p>
        </w:tc>
        <w:tc>
          <w:tcPr>
            <w:tcW w:w="136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平罗县交通运输局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ind w:firstLine="210" w:firstLineChars="10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870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货运企业安全监督检查（普货）</w:t>
            </w:r>
          </w:p>
        </w:tc>
        <w:tc>
          <w:tcPr>
            <w:tcW w:w="718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车辆二级维护情况；从业人员安全教育培训记录；车辆检查记录、隐患治理台账；危险源清单、危险源示意图；安全费用提取记录、使用台账；车辆动态监控平台监控日志、违章处理台账。</w:t>
            </w:r>
          </w:p>
        </w:tc>
        <w:tc>
          <w:tcPr>
            <w:tcW w:w="94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50％</w:t>
            </w:r>
          </w:p>
        </w:tc>
        <w:tc>
          <w:tcPr>
            <w:tcW w:w="82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随机</w:t>
            </w:r>
          </w:p>
        </w:tc>
        <w:tc>
          <w:tcPr>
            <w:tcW w:w="88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全县</w:t>
            </w:r>
          </w:p>
        </w:tc>
        <w:tc>
          <w:tcPr>
            <w:tcW w:w="121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2021.10</w:t>
            </w:r>
          </w:p>
        </w:tc>
        <w:tc>
          <w:tcPr>
            <w:tcW w:w="118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平罗县交通运输局</w:t>
            </w:r>
          </w:p>
        </w:tc>
        <w:tc>
          <w:tcPr>
            <w:tcW w:w="136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平罗县交通运输局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5</w:t>
            </w:r>
          </w:p>
          <w:p>
            <w:pPr>
              <w:ind w:firstLine="210" w:firstLineChars="10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870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货运企业安全监督检查（危货）</w:t>
            </w:r>
          </w:p>
        </w:tc>
        <w:tc>
          <w:tcPr>
            <w:tcW w:w="718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车辆二级维护情况；从业人员安全教育培训记录；车辆检查记录、隐患治理台账：危险源清单、危险源示意图；安全费用提取记录、使用台账；车辆动态监控平台监控日志、违章处理台账。</w:t>
            </w:r>
          </w:p>
        </w:tc>
        <w:tc>
          <w:tcPr>
            <w:tcW w:w="94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50％</w:t>
            </w:r>
          </w:p>
        </w:tc>
        <w:tc>
          <w:tcPr>
            <w:tcW w:w="82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随机</w:t>
            </w:r>
          </w:p>
        </w:tc>
        <w:tc>
          <w:tcPr>
            <w:tcW w:w="88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全县</w:t>
            </w:r>
          </w:p>
        </w:tc>
        <w:tc>
          <w:tcPr>
            <w:tcW w:w="121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2021.11</w:t>
            </w:r>
          </w:p>
        </w:tc>
        <w:tc>
          <w:tcPr>
            <w:tcW w:w="118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平罗县交通运输局</w:t>
            </w:r>
          </w:p>
        </w:tc>
        <w:tc>
          <w:tcPr>
            <w:tcW w:w="136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平罗县交通运输局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lang w:val="en-US" w:eastAsia="zh-CN"/>
              </w:rPr>
            </w:pPr>
          </w:p>
          <w:p>
            <w:pPr>
              <w:ind w:firstLine="210" w:firstLineChars="10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87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vertAlign w:val="baseline"/>
                <w:lang w:val="en-US" w:eastAsia="zh-CN"/>
              </w:rPr>
              <w:t>客运企业安全监督检查</w:t>
            </w:r>
          </w:p>
        </w:tc>
        <w:tc>
          <w:tcPr>
            <w:tcW w:w="718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  <w:r>
              <w:rPr>
                <w:rFonts w:hint="eastAsia" w:ascii="仿宋_GB2312" w:hAnsi="仿宋_GB2312" w:cs="仿宋_GB2312"/>
                <w:sz w:val="21"/>
                <w:szCs w:val="21"/>
                <w:vertAlign w:val="baseline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客运企业安全管理机构设立情况；2</w:t>
            </w:r>
            <w:r>
              <w:rPr>
                <w:rFonts w:hint="eastAsia" w:ascii="仿宋_GB2312" w:hAnsi="仿宋_GB2312" w:cs="仿宋_GB2312"/>
                <w:sz w:val="21"/>
                <w:szCs w:val="21"/>
                <w:vertAlign w:val="baseline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客运企业召开安全生产工作会议及安全例会情况；3</w:t>
            </w:r>
            <w:r>
              <w:rPr>
                <w:rFonts w:hint="eastAsia" w:ascii="仿宋_GB2312" w:hAnsi="仿宋_GB2312" w:cs="仿宋_GB2312"/>
                <w:sz w:val="21"/>
                <w:szCs w:val="21"/>
                <w:vertAlign w:val="baseline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客运企业安全生产专项资金提取使用情况；4</w:t>
            </w:r>
            <w:r>
              <w:rPr>
                <w:rFonts w:hint="eastAsia" w:ascii="仿宋_GB2312" w:hAnsi="仿宋_GB2312" w:cs="仿宋_GB2312"/>
                <w:sz w:val="21"/>
                <w:szCs w:val="21"/>
                <w:vertAlign w:val="baseline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客运企业投保承运人责任险等保险情况；5</w:t>
            </w:r>
            <w:r>
              <w:rPr>
                <w:rFonts w:hint="eastAsia" w:ascii="仿宋_GB2312" w:hAnsi="仿宋_GB2312" w:cs="仿宋_GB2312"/>
                <w:sz w:val="21"/>
                <w:szCs w:val="21"/>
                <w:vertAlign w:val="baseline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客运企业安全生产责任制建立情况:6</w:t>
            </w:r>
            <w:r>
              <w:rPr>
                <w:rFonts w:hint="eastAsia" w:ascii="仿宋_GB2312" w:hAnsi="仿宋_GB2312" w:cs="仿宋_GB2312"/>
                <w:sz w:val="21"/>
                <w:szCs w:val="21"/>
                <w:vertAlign w:val="baseline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客运企业各项制度建立落实情况:7</w:t>
            </w:r>
            <w:r>
              <w:rPr>
                <w:rFonts w:hint="eastAsia" w:ascii="仿宋_GB2312" w:hAnsi="仿宋_GB2312" w:cs="仿宋_GB2312"/>
                <w:sz w:val="21"/>
                <w:szCs w:val="21"/>
                <w:vertAlign w:val="baseline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客运企业车辆动态监控平台运行情况；8</w:t>
            </w:r>
            <w:r>
              <w:rPr>
                <w:rFonts w:hint="eastAsia" w:ascii="仿宋_GB2312" w:hAnsi="仿宋_GB2312" w:cs="仿宋_GB2312"/>
                <w:sz w:val="21"/>
                <w:szCs w:val="21"/>
                <w:vertAlign w:val="baseline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客运企业对从业人员培训教育情况；9</w:t>
            </w:r>
            <w:r>
              <w:rPr>
                <w:rFonts w:hint="eastAsia" w:ascii="仿宋_GB2312" w:hAnsi="仿宋_GB2312" w:cs="仿宋_GB2312"/>
                <w:sz w:val="21"/>
                <w:szCs w:val="21"/>
                <w:vertAlign w:val="baseline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客运企业安全隐患排查治理情况:10</w:t>
            </w:r>
            <w:r>
              <w:rPr>
                <w:rFonts w:hint="eastAsia" w:ascii="仿宋_GB2312" w:hAnsi="仿宋_GB2312" w:cs="仿宋_GB2312"/>
                <w:sz w:val="21"/>
                <w:szCs w:val="21"/>
                <w:vertAlign w:val="baseline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客运企业应急预案制定情况</w:t>
            </w:r>
          </w:p>
        </w:tc>
        <w:tc>
          <w:tcPr>
            <w:tcW w:w="94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50％</w:t>
            </w:r>
          </w:p>
        </w:tc>
        <w:tc>
          <w:tcPr>
            <w:tcW w:w="82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随机</w:t>
            </w:r>
          </w:p>
        </w:tc>
        <w:tc>
          <w:tcPr>
            <w:tcW w:w="88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全县</w:t>
            </w:r>
          </w:p>
        </w:tc>
        <w:tc>
          <w:tcPr>
            <w:tcW w:w="121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2021.1</w:t>
            </w:r>
            <w:r>
              <w:rPr>
                <w:rFonts w:hint="eastAsia" w:ascii="仿宋_GB2312" w:hAnsi="仿宋_GB2312" w:cs="仿宋_GB2312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18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平罗县交通运输局</w:t>
            </w:r>
          </w:p>
        </w:tc>
        <w:tc>
          <w:tcPr>
            <w:tcW w:w="136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平罗县交通运输局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1"/>
          <w:szCs w:val="21"/>
          <w:lang w:val="en-US" w:eastAsia="zh-CN"/>
        </w:rPr>
      </w:pPr>
    </w:p>
    <w:sectPr>
      <w:pgSz w:w="16838" w:h="11906" w:orient="landscape"/>
      <w:pgMar w:top="1587" w:right="2098" w:bottom="1474" w:left="1984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@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@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Calibri Light">
    <w:altName w:val="Calibri"/>
    <w:panose1 w:val="020F0302020204030204"/>
    <w:charset w:val="00"/>
    <w:family w:val="roman"/>
    <w:pitch w:val="default"/>
    <w:sig w:usb0="00000000" w:usb1="00000000" w:usb2="00000000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Guli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全新硬笔行书简">
    <w:altName w:val="宋体"/>
    <w:panose1 w:val="02010600040101010101"/>
    <w:charset w:val="86"/>
    <w:family w:val="auto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Helvetica Neue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迷你简汉真广标">
    <w:altName w:val="宋体"/>
    <w:panose1 w:val="02010609000101010101"/>
    <w:charset w:val="86"/>
    <w:family w:val="modern"/>
    <w:pitch w:val="default"/>
    <w:sig w:usb0="00000000" w:usb1="00000000" w:usb2="00000002" w:usb3="00000000" w:csb0="00040000" w:csb1="0000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字体管家胖丫儿">
    <w:altName w:val="宋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文鼎中楷体">
    <w:altName w:val="宋体"/>
    <w:panose1 w:val="03000600000000000000"/>
    <w:charset w:val="86"/>
    <w:family w:val="auto"/>
    <w:pitch w:val="default"/>
    <w:sig w:usb0="00000000" w:usb1="00000000" w:usb2="00000012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BrowalliaUPC">
    <w:panose1 w:val="020B0604020202020204"/>
    <w:charset w:val="00"/>
    <w:family w:val="auto"/>
    <w:pitch w:val="default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- 2 -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LNJWO7QAAAABQEAAA8AAAAAAAAAAQAg&#10;AAAAIgAAAGRycy9kb3ducmV2LnhtbFBLAQIUABQAAAAIAIdO4kDzzfY5wQIAANYFAAAOAAAAAAAA&#10;AAEAIAAAAB8BAABkcnMvZTJvRG9jLnhtbFBLBQYAAAAABgAGAFkBAABS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A2C73"/>
    <w:multiLevelType w:val="singleLevel"/>
    <w:tmpl w:val="5CDA2C73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6D71D7"/>
    <w:rsid w:val="01674ED6"/>
    <w:rsid w:val="02856630"/>
    <w:rsid w:val="04AC7F4A"/>
    <w:rsid w:val="063E15EA"/>
    <w:rsid w:val="0835650C"/>
    <w:rsid w:val="0A2073B9"/>
    <w:rsid w:val="0A697654"/>
    <w:rsid w:val="0DC655D2"/>
    <w:rsid w:val="0F0E2F01"/>
    <w:rsid w:val="0F8C0604"/>
    <w:rsid w:val="111165F9"/>
    <w:rsid w:val="127465B2"/>
    <w:rsid w:val="146228D5"/>
    <w:rsid w:val="162B16E2"/>
    <w:rsid w:val="16BC6A5D"/>
    <w:rsid w:val="17EA3026"/>
    <w:rsid w:val="19F87AD7"/>
    <w:rsid w:val="1B746589"/>
    <w:rsid w:val="1BE23BE2"/>
    <w:rsid w:val="1C0D7566"/>
    <w:rsid w:val="1E592FF4"/>
    <w:rsid w:val="1EA04936"/>
    <w:rsid w:val="1F9F1F76"/>
    <w:rsid w:val="20095925"/>
    <w:rsid w:val="201E4FE4"/>
    <w:rsid w:val="2445513F"/>
    <w:rsid w:val="25542593"/>
    <w:rsid w:val="2571370B"/>
    <w:rsid w:val="261C1C66"/>
    <w:rsid w:val="26A971B2"/>
    <w:rsid w:val="279B621F"/>
    <w:rsid w:val="284C46AE"/>
    <w:rsid w:val="2C9F4276"/>
    <w:rsid w:val="2CD1367C"/>
    <w:rsid w:val="2D026E8D"/>
    <w:rsid w:val="2D30616C"/>
    <w:rsid w:val="2DF714FF"/>
    <w:rsid w:val="2E8F3832"/>
    <w:rsid w:val="2F716F34"/>
    <w:rsid w:val="2FE11A76"/>
    <w:rsid w:val="32C92C0D"/>
    <w:rsid w:val="33405A02"/>
    <w:rsid w:val="340A3482"/>
    <w:rsid w:val="35040C9F"/>
    <w:rsid w:val="35EB4ECE"/>
    <w:rsid w:val="36E321FA"/>
    <w:rsid w:val="38C76890"/>
    <w:rsid w:val="39633E6B"/>
    <w:rsid w:val="3A03523B"/>
    <w:rsid w:val="3BE34A96"/>
    <w:rsid w:val="40F028D7"/>
    <w:rsid w:val="416D618C"/>
    <w:rsid w:val="42453728"/>
    <w:rsid w:val="434E7BCB"/>
    <w:rsid w:val="44516185"/>
    <w:rsid w:val="44E16BF4"/>
    <w:rsid w:val="45E20C21"/>
    <w:rsid w:val="48A44017"/>
    <w:rsid w:val="48A66F0A"/>
    <w:rsid w:val="4A6D71D7"/>
    <w:rsid w:val="4AE46E5E"/>
    <w:rsid w:val="4BD8568D"/>
    <w:rsid w:val="4C1A541A"/>
    <w:rsid w:val="4CC161F4"/>
    <w:rsid w:val="4CFA2CD2"/>
    <w:rsid w:val="4DB344A6"/>
    <w:rsid w:val="51352026"/>
    <w:rsid w:val="51761EA5"/>
    <w:rsid w:val="53117262"/>
    <w:rsid w:val="53B514CF"/>
    <w:rsid w:val="53BE4EA0"/>
    <w:rsid w:val="54941A6A"/>
    <w:rsid w:val="550611B7"/>
    <w:rsid w:val="56D3184B"/>
    <w:rsid w:val="57932154"/>
    <w:rsid w:val="57BB59D0"/>
    <w:rsid w:val="57FF2D05"/>
    <w:rsid w:val="5A3268E1"/>
    <w:rsid w:val="5A5C3260"/>
    <w:rsid w:val="5A963D24"/>
    <w:rsid w:val="5A9E04A5"/>
    <w:rsid w:val="5B5C45C3"/>
    <w:rsid w:val="5BA01E52"/>
    <w:rsid w:val="5C385642"/>
    <w:rsid w:val="5D061B90"/>
    <w:rsid w:val="5D8B0796"/>
    <w:rsid w:val="5F145BB0"/>
    <w:rsid w:val="62DE70FE"/>
    <w:rsid w:val="637C7A96"/>
    <w:rsid w:val="63F520A5"/>
    <w:rsid w:val="648837AF"/>
    <w:rsid w:val="64B97F86"/>
    <w:rsid w:val="65FE0FA4"/>
    <w:rsid w:val="684832FE"/>
    <w:rsid w:val="68D41D8F"/>
    <w:rsid w:val="6C2F72DE"/>
    <w:rsid w:val="6CD15B95"/>
    <w:rsid w:val="6E3A27DA"/>
    <w:rsid w:val="6EAB3119"/>
    <w:rsid w:val="6FA76572"/>
    <w:rsid w:val="70D45209"/>
    <w:rsid w:val="710F044A"/>
    <w:rsid w:val="71BD5453"/>
    <w:rsid w:val="71D32011"/>
    <w:rsid w:val="76564C53"/>
    <w:rsid w:val="77E34ED2"/>
    <w:rsid w:val="78C462F2"/>
    <w:rsid w:val="792D4630"/>
    <w:rsid w:val="7A3F1FFC"/>
    <w:rsid w:val="7A4B43BA"/>
    <w:rsid w:val="7A712655"/>
    <w:rsid w:val="7B381807"/>
    <w:rsid w:val="7B3E19C6"/>
    <w:rsid w:val="7B6152C6"/>
    <w:rsid w:val="7D9F3288"/>
    <w:rsid w:val="7ED2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left="200" w:firstLine="420" w:firstLineChars="200"/>
    </w:pPr>
    <w:rPr>
      <w:rFonts w:hint="eastAsia" w:ascii="Times New Roman" w:eastAsia="仿宋_GB2312"/>
      <w:sz w:val="32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333333"/>
      <w:u w:val="none"/>
    </w:rPr>
  </w:style>
  <w:style w:type="character" w:styleId="10">
    <w:name w:val="Hyperlink"/>
    <w:basedOn w:val="7"/>
    <w:qFormat/>
    <w:uiPriority w:val="0"/>
    <w:rPr>
      <w:color w:val="333333"/>
      <w:u w:val="none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3">
    <w:name w:val="hover41"/>
    <w:basedOn w:val="7"/>
    <w:qFormat/>
    <w:uiPriority w:val="0"/>
    <w:rPr>
      <w:shd w:val="clear" w:fill="0174CC"/>
    </w:rPr>
  </w:style>
  <w:style w:type="character" w:customStyle="1" w:styleId="14">
    <w:name w:val="before"/>
    <w:basedOn w:val="7"/>
    <w:qFormat/>
    <w:uiPriority w:val="0"/>
    <w:rPr>
      <w:shd w:val="clear" w:fill="FFFFFF"/>
    </w:rPr>
  </w:style>
  <w:style w:type="character" w:customStyle="1" w:styleId="15">
    <w:name w:val="after"/>
    <w:basedOn w:val="7"/>
    <w:qFormat/>
    <w:uiPriority w:val="0"/>
    <w:rPr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2019-05-13T09:28:00Z</dcterms:created>
  <dc:creator>plxjtj01</dc:creator>
  <cp:lastModifiedBy>plxjtj01</cp:lastModifiedBy>
  <cp:lastPrinted>2021-04-02T00:41:59Z</cp:lastPrinted>
  <dcterms:modified xsi:type="dcterms:W3CDTF">2021-04-02T00:48:00Z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