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跨部门联合“双随机”抽查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执法人员、市场主体选派（抽取）记录单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抽查单位：                  实施时间：    年   月  日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200"/>
        <w:gridCol w:w="1671"/>
        <w:gridCol w:w="288"/>
        <w:gridCol w:w="1290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bookmarkStart w:id="0" w:name="_GoBack"/>
            <w:r>
              <w:rPr>
                <w:rFonts w:hint="eastAsia" w:ascii="仿宋" w:hAnsi="仿宋" w:eastAsia="仿宋" w:cs="仿宋"/>
              </w:rPr>
              <w:t>随机摇号产生检查人员及其执法证号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执法证号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随机“摇号”产生检查对象名称及地址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实施抽查</w:t>
            </w:r>
          </w:p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单位意见</w:t>
            </w:r>
          </w:p>
        </w:tc>
        <w:tc>
          <w:tcPr>
            <w:tcW w:w="7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“摇号”经办人签字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现场监督人员签字</w:t>
            </w:r>
          </w:p>
        </w:tc>
        <w:tc>
          <w:tcPr>
            <w:tcW w:w="2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419E2"/>
    <w:rsid w:val="799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2020-08-25T02:59:00Z</dcterms:created>
  <dc:creator>许利峰</dc:creator>
  <cp:lastModifiedBy>许利峰</cp:lastModifiedBy>
  <dcterms:modified xsi:type="dcterms:W3CDTF">2020-08-25T03:02:46Z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