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80" w:lineRule="atLeast"/>
        <w:ind w:left="0" w:right="0" w:firstLine="0"/>
        <w:jc w:val="both"/>
        <w:rPr>
          <w:rStyle w:val="7"/>
          <w:rFonts w:hint="eastAsia" w:ascii="黑体" w:hAnsi="宋体" w:eastAsia="黑体" w:cs="黑体"/>
          <w:b w:val="0"/>
          <w:bCs/>
          <w:i w:val="0"/>
          <w:caps w:val="0"/>
          <w:color w:val="333333"/>
          <w:spacing w:val="0"/>
          <w:kern w:val="0"/>
          <w:sz w:val="32"/>
          <w:szCs w:val="32"/>
          <w:shd w:val="clear" w:color="auto" w:fill="FFFFFF"/>
          <w:lang w:val="en-US" w:eastAsia="zh-CN" w:bidi="ar"/>
        </w:rPr>
      </w:pPr>
      <w:r>
        <w:rPr>
          <w:rStyle w:val="7"/>
          <w:rFonts w:hint="eastAsia" w:ascii="黑体" w:hAnsi="宋体" w:eastAsia="黑体" w:cs="黑体"/>
          <w:b w:val="0"/>
          <w:bCs/>
          <w:i w:val="0"/>
          <w:caps w:val="0"/>
          <w:color w:val="333333"/>
          <w:spacing w:val="0"/>
          <w:kern w:val="0"/>
          <w:sz w:val="32"/>
          <w:szCs w:val="32"/>
          <w:shd w:val="clear" w:color="auto" w:fill="FFFFFF"/>
          <w:lang w:val="en-US" w:eastAsia="zh-CN" w:bidi="ar"/>
        </w:rPr>
        <w:t>附件</w:t>
      </w:r>
    </w:p>
    <w:p>
      <w:pPr>
        <w:pStyle w:val="2"/>
        <w:keepNext/>
        <w:keepLines/>
        <w:pageBreakBefore w:val="0"/>
        <w:widowControl w:val="0"/>
        <w:kinsoku/>
        <w:wordWrap/>
        <w:overflowPunct/>
        <w:topLinePunct w:val="0"/>
        <w:autoSpaceDE/>
        <w:autoSpaceDN/>
        <w:bidi w:val="0"/>
        <w:adjustRightInd/>
        <w:snapToGrid/>
        <w:spacing w:before="0" w:after="0" w:line="240" w:lineRule="exact"/>
        <w:textAlignment w:val="auto"/>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Style w:val="7"/>
          <w:rFonts w:hint="eastAsia" w:ascii="方正小标宋简体" w:hAnsi="方正小标宋简体" w:eastAsia="方正小标宋简体" w:cs="方正小标宋简体"/>
          <w:b w:val="0"/>
          <w:bCs/>
          <w:i w:val="0"/>
          <w:caps w:val="0"/>
          <w:color w:val="333333"/>
          <w:spacing w:val="0"/>
          <w:kern w:val="0"/>
          <w:sz w:val="40"/>
          <w:szCs w:val="40"/>
          <w:shd w:val="clear" w:color="auto" w:fill="FFFFFF"/>
          <w:lang w:val="en-US" w:eastAsia="zh-CN" w:bidi="ar"/>
        </w:rPr>
      </w:pPr>
      <w:r>
        <w:rPr>
          <w:rStyle w:val="7"/>
          <w:rFonts w:hint="eastAsia" w:ascii="方正小标宋简体" w:hAnsi="方正小标宋简体" w:eastAsia="方正小标宋简体" w:cs="方正小标宋简体"/>
          <w:b w:val="0"/>
          <w:bCs/>
          <w:i w:val="0"/>
          <w:caps w:val="0"/>
          <w:color w:val="333333"/>
          <w:spacing w:val="0"/>
          <w:kern w:val="0"/>
          <w:sz w:val="40"/>
          <w:szCs w:val="40"/>
          <w:shd w:val="clear" w:color="auto" w:fill="FFFFFF"/>
          <w:lang w:val="en-US" w:eastAsia="zh-CN" w:bidi="ar"/>
        </w:rPr>
        <w:t>平罗县市场监督管理局2020年度“双随机、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Style w:val="7"/>
          <w:rFonts w:hint="eastAsia" w:ascii="方正小标宋简体" w:hAnsi="方正小标宋简体" w:eastAsia="方正小标宋简体" w:cs="方正小标宋简体"/>
          <w:b w:val="0"/>
          <w:bCs/>
          <w:i w:val="0"/>
          <w:caps w:val="0"/>
          <w:color w:val="333333"/>
          <w:spacing w:val="0"/>
          <w:kern w:val="0"/>
          <w:sz w:val="40"/>
          <w:szCs w:val="40"/>
          <w:shd w:val="clear" w:color="auto" w:fill="FFFFFF"/>
          <w:lang w:val="en-US" w:eastAsia="zh-CN" w:bidi="ar"/>
        </w:rPr>
      </w:pPr>
      <w:r>
        <w:rPr>
          <w:rStyle w:val="7"/>
          <w:rFonts w:hint="eastAsia" w:ascii="方正小标宋简体" w:hAnsi="方正小标宋简体" w:eastAsia="方正小标宋简体" w:cs="方正小标宋简体"/>
          <w:b w:val="0"/>
          <w:bCs/>
          <w:i w:val="0"/>
          <w:caps w:val="0"/>
          <w:color w:val="333333"/>
          <w:spacing w:val="0"/>
          <w:kern w:val="0"/>
          <w:sz w:val="40"/>
          <w:szCs w:val="40"/>
          <w:shd w:val="clear" w:color="auto" w:fill="FFFFFF"/>
          <w:lang w:val="en-US" w:eastAsia="zh-CN" w:bidi="ar"/>
        </w:rPr>
        <w:t>一公开”监管工作实施方案</w:t>
      </w:r>
    </w:p>
    <w:p>
      <w:pPr>
        <w:pStyle w:val="2"/>
        <w:keepNext/>
        <w:keepLines/>
        <w:pageBreakBefore w:val="0"/>
        <w:widowControl w:val="0"/>
        <w:kinsoku/>
        <w:wordWrap/>
        <w:overflowPunct/>
        <w:topLinePunct w:val="0"/>
        <w:autoSpaceDE/>
        <w:autoSpaceDN/>
        <w:bidi w:val="0"/>
        <w:adjustRightInd/>
        <w:snapToGrid/>
        <w:spacing w:before="0" w:after="0" w:line="240" w:lineRule="exact"/>
        <w:textAlignment w:val="auto"/>
        <w:rPr>
          <w:rFonts w:hint="eastAsia"/>
          <w:lang w:val="en-US" w:eastAsia="zh-CN"/>
        </w:rPr>
      </w:pPr>
    </w:p>
    <w:p>
      <w:pPr>
        <w:keepNext w:val="0"/>
        <w:keepLines w:val="0"/>
        <w:pageBreakBefore w:val="0"/>
        <w:kinsoku/>
        <w:wordWrap/>
        <w:overflowPunct/>
        <w:topLinePunct w:val="0"/>
        <w:autoSpaceDE/>
        <w:autoSpaceDN/>
        <w:bidi w:val="0"/>
        <w:adjustRightInd/>
        <w:spacing w:line="500" w:lineRule="exact"/>
        <w:ind w:left="0" w:firstLine="640" w:firstLineChars="200"/>
        <w:jc w:val="both"/>
        <w:textAlignment w:val="auto"/>
        <w:rPr>
          <w:rFonts w:hint="eastAsia" w:ascii="仿宋" w:hAnsi="仿宋" w:eastAsia="仿宋"/>
          <w:color w:val="333333"/>
          <w:kern w:val="0"/>
          <w:sz w:val="32"/>
          <w:szCs w:val="32"/>
          <w:shd w:val="clear" w:color="auto" w:fill="FFFFFF"/>
        </w:rPr>
      </w:pPr>
      <w:r>
        <w:rPr>
          <w:rFonts w:hint="eastAsia" w:ascii="仿宋" w:hAnsi="仿宋" w:eastAsia="仿宋"/>
          <w:color w:val="333333"/>
          <w:kern w:val="0"/>
          <w:sz w:val="32"/>
          <w:szCs w:val="32"/>
          <w:shd w:val="clear" w:color="auto" w:fill="FFFFFF"/>
        </w:rPr>
        <w:t>为了贯彻落实《国务院关于在市场监管领域全面推行部门联合“双随机、一公开”监管的意见》（国发〔2019〕5号）</w:t>
      </w:r>
      <w:r>
        <w:rPr>
          <w:rFonts w:hint="eastAsia" w:ascii="仿宋" w:hAnsi="仿宋" w:eastAsia="仿宋"/>
          <w:color w:val="333333"/>
          <w:kern w:val="0"/>
          <w:sz w:val="32"/>
          <w:szCs w:val="32"/>
          <w:shd w:val="clear" w:color="auto" w:fill="FFFFFF"/>
          <w:lang w:eastAsia="zh-CN"/>
        </w:rPr>
        <w:t>、</w:t>
      </w:r>
      <w:r>
        <w:rPr>
          <w:rFonts w:hint="eastAsia" w:ascii="仿宋" w:hAnsi="仿宋" w:eastAsia="仿宋"/>
          <w:color w:val="333333"/>
          <w:kern w:val="0"/>
          <w:sz w:val="32"/>
          <w:szCs w:val="32"/>
          <w:shd w:val="clear" w:color="auto" w:fill="FFFFFF"/>
        </w:rPr>
        <w:t>《市场监管总局关于全面推进“双随机、一公开”监管工作的通知》（国市监信【2019】38号）</w:t>
      </w:r>
      <w:r>
        <w:rPr>
          <w:rFonts w:hint="eastAsia" w:ascii="仿宋" w:hAnsi="仿宋" w:eastAsia="仿宋"/>
          <w:color w:val="333333"/>
          <w:kern w:val="0"/>
          <w:sz w:val="32"/>
          <w:szCs w:val="32"/>
          <w:shd w:val="clear" w:color="auto" w:fill="FFFFFF"/>
          <w:lang w:eastAsia="zh-CN"/>
        </w:rPr>
        <w:t>以及</w:t>
      </w:r>
      <w:r>
        <w:rPr>
          <w:rFonts w:hint="eastAsia" w:ascii="仿宋" w:hAnsi="仿宋" w:eastAsia="仿宋" w:cs="仿宋"/>
          <w:b w:val="0"/>
          <w:bCs/>
          <w:i w:val="0"/>
          <w:caps w:val="0"/>
          <w:color w:val="333333"/>
          <w:spacing w:val="0"/>
          <w:kern w:val="0"/>
          <w:sz w:val="32"/>
          <w:szCs w:val="32"/>
          <w:shd w:val="clear" w:color="auto" w:fill="FFFFFF"/>
          <w:lang w:val="en-US" w:eastAsia="zh-CN" w:bidi="ar"/>
        </w:rPr>
        <w:t>自治区人民政府《关于在全区市场监管领域全面推行部门联合“双随机、一公开”监管的实施意见》（宁政规发【2019】5号）要求，</w:t>
      </w:r>
      <w:r>
        <w:rPr>
          <w:rFonts w:hint="eastAsia" w:ascii="仿宋" w:hAnsi="仿宋" w:eastAsia="仿宋"/>
          <w:color w:val="333333"/>
          <w:kern w:val="0"/>
          <w:sz w:val="32"/>
          <w:szCs w:val="32"/>
          <w:shd w:val="clear" w:color="auto" w:fill="FFFFFF"/>
        </w:rPr>
        <w:t>结合我局工作实际，特制定本方案。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 w:hAnsi="仿宋" w:eastAsia="仿宋" w:cs="仿宋"/>
          <w:b/>
          <w:bCs w:val="0"/>
          <w:i w:val="0"/>
          <w:caps w:val="0"/>
          <w:color w:val="333333"/>
          <w:spacing w:val="0"/>
          <w:sz w:val="32"/>
          <w:szCs w:val="32"/>
        </w:rPr>
      </w:pPr>
      <w:r>
        <w:rPr>
          <w:rStyle w:val="7"/>
          <w:rFonts w:hint="eastAsia" w:ascii="黑体" w:hAnsi="黑体" w:eastAsia="黑体" w:cs="黑体"/>
          <w:b w:val="0"/>
          <w:bCs/>
          <w:i w:val="0"/>
          <w:caps w:val="0"/>
          <w:color w:val="333333"/>
          <w:spacing w:val="0"/>
          <w:kern w:val="0"/>
          <w:sz w:val="32"/>
          <w:szCs w:val="32"/>
          <w:shd w:val="clear" w:color="auto" w:fill="FFFFFF"/>
          <w:lang w:val="en-US" w:eastAsia="zh-CN" w:bidi="ar"/>
        </w:rPr>
        <w:t>一、总体要求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 w:hAnsi="仿宋" w:eastAsia="仿宋" w:cs="仿宋"/>
          <w:b w:val="0"/>
          <w:bCs/>
          <w:i w:val="0"/>
          <w:caps w:val="0"/>
          <w:color w:val="333333"/>
          <w:spacing w:val="0"/>
          <w:kern w:val="0"/>
          <w:sz w:val="32"/>
          <w:szCs w:val="32"/>
          <w:shd w:val="clear" w:color="auto" w:fill="FFFFFF"/>
          <w:lang w:val="en-US" w:eastAsia="zh-CN" w:bidi="ar"/>
        </w:rPr>
      </w:pPr>
      <w:r>
        <w:rPr>
          <w:rFonts w:hint="eastAsia" w:ascii="仿宋" w:hAnsi="仿宋" w:eastAsia="仿宋" w:cs="仿宋"/>
          <w:b w:val="0"/>
          <w:bCs/>
          <w:i w:val="0"/>
          <w:caps w:val="0"/>
          <w:color w:val="333333"/>
          <w:spacing w:val="0"/>
          <w:kern w:val="0"/>
          <w:sz w:val="32"/>
          <w:szCs w:val="32"/>
          <w:shd w:val="clear" w:color="auto" w:fill="FFFFFF"/>
          <w:lang w:val="en-US" w:eastAsia="zh-CN" w:bidi="ar"/>
        </w:rPr>
        <w:t>切实转变监管理念，创新监管方式，健全以“双随机、一公开”监管为基本手段、以重点监管为补充、实行抽查事项清单管理，避免多头执法、重复检查，规范执法行为，提高监管效能，减轻企业负担，强化信用支撑，切实做到监管到位、执法必严，实现阳光监管，使守法守信者畅行天下、违法失信者寸步难行，进一步营造公平竞争的市场环境和法治化、便利化的营商环境。建立双随机抽查结果部门间共享互换和互认互用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黑体" w:hAnsi="黑体" w:eastAsia="黑体" w:cs="黑体"/>
          <w:b w:val="0"/>
          <w:bCs/>
          <w:i w:val="0"/>
          <w:caps w:val="0"/>
          <w:color w:val="auto"/>
          <w:spacing w:val="0"/>
          <w:sz w:val="32"/>
          <w:szCs w:val="32"/>
        </w:rPr>
      </w:pPr>
      <w:r>
        <w:rPr>
          <w:rStyle w:val="7"/>
          <w:rFonts w:hint="eastAsia" w:ascii="黑体" w:hAnsi="黑体" w:eastAsia="黑体" w:cs="黑体"/>
          <w:b w:val="0"/>
          <w:bCs/>
          <w:i w:val="0"/>
          <w:caps w:val="0"/>
          <w:color w:val="333333"/>
          <w:spacing w:val="0"/>
          <w:kern w:val="0"/>
          <w:sz w:val="32"/>
          <w:szCs w:val="32"/>
          <w:shd w:val="clear" w:color="auto" w:fill="FFFFFF"/>
          <w:lang w:val="en-US" w:eastAsia="zh-CN" w:bidi="ar"/>
        </w:rPr>
        <w:t>二</w:t>
      </w:r>
      <w:r>
        <w:rPr>
          <w:rStyle w:val="7"/>
          <w:rFonts w:hint="eastAsia" w:ascii="黑体" w:hAnsi="黑体" w:eastAsia="黑体" w:cs="黑体"/>
          <w:b w:val="0"/>
          <w:bCs/>
          <w:i w:val="0"/>
          <w:caps w:val="0"/>
          <w:color w:val="auto"/>
          <w:spacing w:val="0"/>
          <w:kern w:val="0"/>
          <w:sz w:val="32"/>
          <w:szCs w:val="32"/>
          <w:shd w:val="clear" w:color="auto" w:fill="FFFFFF"/>
          <w:lang w:val="en-US" w:eastAsia="zh-CN" w:bidi="ar"/>
        </w:rPr>
        <w:t>、工作任务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both"/>
        <w:textAlignment w:val="auto"/>
        <w:rPr>
          <w:rFonts w:hint="eastAsia" w:ascii="仿宋" w:hAnsi="仿宋" w:eastAsia="仿宋" w:cs="仿宋"/>
          <w:b w:val="0"/>
          <w:bCs/>
          <w:i w:val="0"/>
          <w:caps w:val="0"/>
          <w:color w:val="auto"/>
          <w:spacing w:val="0"/>
          <w:kern w:val="0"/>
          <w:sz w:val="32"/>
          <w:szCs w:val="32"/>
          <w:shd w:val="clear" w:color="auto" w:fill="FFFFFF"/>
          <w:lang w:val="en-US" w:eastAsia="zh-CN" w:bidi="ar"/>
        </w:rPr>
      </w:pPr>
      <w:r>
        <w:rPr>
          <w:rFonts w:hint="eastAsia" w:ascii="仿宋" w:hAnsi="仿宋" w:eastAsia="仿宋" w:cs="仿宋"/>
          <w:b/>
          <w:bCs w:val="0"/>
          <w:i w:val="0"/>
          <w:caps w:val="0"/>
          <w:color w:val="auto"/>
          <w:spacing w:val="0"/>
          <w:kern w:val="0"/>
          <w:sz w:val="32"/>
          <w:szCs w:val="32"/>
          <w:shd w:val="clear" w:color="auto" w:fill="FFFFFF"/>
          <w:lang w:val="en-US" w:eastAsia="zh-CN" w:bidi="ar"/>
        </w:rPr>
        <w:t>1.制定随机抽查事项清单。</w:t>
      </w:r>
      <w:r>
        <w:rPr>
          <w:rFonts w:hint="eastAsia" w:ascii="仿宋" w:hAnsi="仿宋" w:eastAsia="仿宋" w:cs="仿宋"/>
          <w:b w:val="0"/>
          <w:bCs/>
          <w:i w:val="0"/>
          <w:caps w:val="0"/>
          <w:color w:val="auto"/>
          <w:spacing w:val="0"/>
          <w:kern w:val="0"/>
          <w:sz w:val="32"/>
          <w:szCs w:val="32"/>
          <w:shd w:val="clear" w:color="auto" w:fill="FFFFFF"/>
          <w:lang w:val="en-US" w:eastAsia="zh-CN" w:bidi="ar"/>
        </w:rPr>
        <w:t>按照自治区市场监管厅统一抽查事项清单，统筹制定县局随机抽查事项清单。抽查事项清单分为重点检查事项和一般检查事项。重点检查事项针对涉及安全、质量、公共利益等领域，抽查比例不设上限；抽查比例高的，可以通过随机抽取的方式确定检查批次顺序。一般检查事项针对一般监管领域，抽查比例应根据监管实际情况设置上限。随机事项清单应及时通过相关网站和工作平台向社会公开，并根据事项清单对抽查事项库进行完善和更新。</w:t>
      </w:r>
      <w:r>
        <w:rPr>
          <w:rFonts w:hint="eastAsia" w:ascii="仿宋" w:hAnsi="仿宋" w:eastAsia="仿宋" w:cs="仿宋"/>
          <w:b/>
          <w:bCs w:val="0"/>
          <w:i w:val="0"/>
          <w:caps w:val="0"/>
          <w:color w:val="auto"/>
          <w:spacing w:val="0"/>
          <w:kern w:val="0"/>
          <w:sz w:val="32"/>
          <w:szCs w:val="32"/>
          <w:shd w:val="clear" w:color="auto" w:fill="FFFFFF"/>
          <w:lang w:val="en-US" w:eastAsia="zh-CN" w:bidi="ar"/>
        </w:rPr>
        <w:t>登记注册与信用监管室负责根据《自治区</w:t>
      </w:r>
      <w:r>
        <w:rPr>
          <w:rFonts w:hint="eastAsia" w:ascii="仿宋" w:hAnsi="仿宋" w:eastAsia="仿宋"/>
          <w:b/>
          <w:bCs w:val="0"/>
          <w:color w:val="auto"/>
          <w:sz w:val="32"/>
          <w:szCs w:val="32"/>
        </w:rPr>
        <w:t>市场监管厅随机抽查事项清单</w:t>
      </w:r>
      <w:r>
        <w:rPr>
          <w:rFonts w:hint="eastAsia" w:ascii="仿宋" w:hAnsi="仿宋" w:eastAsia="仿宋"/>
          <w:b/>
          <w:bCs w:val="0"/>
          <w:color w:val="auto"/>
          <w:sz w:val="32"/>
          <w:szCs w:val="32"/>
          <w:lang w:eastAsia="zh-CN"/>
        </w:rPr>
        <w:t>》制定县局《随机抽查事项清单》。</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3" w:firstLineChars="200"/>
        <w:jc w:val="both"/>
        <w:textAlignment w:val="auto"/>
        <w:rPr>
          <w:rFonts w:hint="eastAsia" w:ascii="仿宋" w:hAnsi="仿宋" w:eastAsia="仿宋" w:cs="仿宋"/>
          <w:b/>
          <w:bCs w:val="0"/>
          <w:sz w:val="32"/>
          <w:szCs w:val="32"/>
          <w:lang w:val="en-US" w:eastAsia="zh-CN"/>
        </w:rPr>
      </w:pPr>
      <w:r>
        <w:rPr>
          <w:rFonts w:hint="eastAsia" w:ascii="仿宋" w:hAnsi="仿宋" w:eastAsia="仿宋" w:cs="仿宋"/>
          <w:b/>
          <w:bCs w:val="0"/>
          <w:i w:val="0"/>
          <w:caps w:val="0"/>
          <w:color w:val="auto"/>
          <w:spacing w:val="0"/>
          <w:kern w:val="0"/>
          <w:sz w:val="32"/>
          <w:szCs w:val="32"/>
          <w:shd w:val="clear" w:color="auto" w:fill="FFFFFF"/>
          <w:lang w:val="en-US" w:eastAsia="zh-CN" w:bidi="ar"/>
        </w:rPr>
        <w:t>完善随机抽查“两库”名录</w:t>
      </w:r>
      <w:r>
        <w:rPr>
          <w:rFonts w:hint="eastAsia" w:ascii="仿宋" w:hAnsi="仿宋" w:eastAsia="仿宋" w:cs="仿宋"/>
          <w:b w:val="0"/>
          <w:bCs/>
          <w:i w:val="0"/>
          <w:caps w:val="0"/>
          <w:color w:val="auto"/>
          <w:spacing w:val="0"/>
          <w:kern w:val="0"/>
          <w:sz w:val="32"/>
          <w:szCs w:val="32"/>
          <w:shd w:val="clear" w:color="auto" w:fill="FFFFFF"/>
          <w:lang w:val="en-US" w:eastAsia="zh-CN" w:bidi="ar"/>
        </w:rPr>
        <w:t>。</w:t>
      </w:r>
      <w:r>
        <w:rPr>
          <w:rFonts w:hint="eastAsia" w:ascii="仿宋" w:hAnsi="仿宋" w:eastAsia="仿宋" w:cs="仿宋"/>
          <w:b w:val="0"/>
          <w:bCs/>
          <w:color w:val="auto"/>
          <w:sz w:val="32"/>
          <w:szCs w:val="32"/>
          <w:lang w:val="en-US" w:eastAsia="zh-CN"/>
        </w:rPr>
        <w:t>各相关室、队、所要根据年度随机抽查检查计划建立检查对象库，政策法规室要及时将全局执法人员变动情况通报登记注册与信用监管室，以便对执法人员库进行更新。完善两库名录，对特定领域的协查，协同监管平台系统新增加了特定领域专家库。各职能科室在特殊领域抽查过程中，可吸收检测机构、科研机构、行业专家等参与，满足专业性核查的需要。</w:t>
      </w:r>
      <w:r>
        <w:rPr>
          <w:rFonts w:hint="eastAsia" w:ascii="仿宋" w:hAnsi="仿宋" w:eastAsia="仿宋" w:cs="仿宋"/>
          <w:b/>
          <w:bCs w:val="0"/>
          <w:color w:val="auto"/>
          <w:sz w:val="32"/>
          <w:szCs w:val="32"/>
          <w:lang w:val="en-US" w:eastAsia="zh-CN"/>
        </w:rPr>
        <w:t>登记注册与</w:t>
      </w:r>
      <w:r>
        <w:rPr>
          <w:rFonts w:hint="eastAsia" w:ascii="仿宋" w:hAnsi="仿宋" w:eastAsia="仿宋" w:cs="仿宋"/>
          <w:b/>
          <w:bCs w:val="0"/>
          <w:sz w:val="32"/>
          <w:szCs w:val="32"/>
          <w:lang w:val="en-US" w:eastAsia="zh-CN"/>
        </w:rPr>
        <w:t>信用监管室、政策法规室负责建立和完善执法检查人员库，各相关科室根据抽查计划建立抽查对象库(4月30日前完成）。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rightChars="0" w:firstLine="643" w:firstLineChars="200"/>
        <w:jc w:val="both"/>
        <w:textAlignment w:val="auto"/>
        <w:rPr>
          <w:rFonts w:hint="default"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3.合理制定抽查检查计划。</w:t>
      </w:r>
      <w:r>
        <w:rPr>
          <w:rFonts w:hint="eastAsia" w:ascii="仿宋" w:hAnsi="仿宋" w:eastAsia="仿宋" w:cs="仿宋"/>
          <w:b w:val="0"/>
          <w:bCs/>
          <w:sz w:val="32"/>
          <w:szCs w:val="32"/>
          <w:lang w:val="en-US" w:eastAsia="zh-CN"/>
        </w:rPr>
        <w:t>除特殊重点领域外，各相关科室、队、所对企业的执法检查，必须纳入“双随机、一公开”年度抽查工作计划，不得随意检查和执法扰民。县局将结合工作实际和上级部门的抽查要求，制定年度抽查工作计划。年度抽查工作计划可根据工作实际动态调整。科学确定部门联合抽查的事项和参与部门，实现“进一次门、查多项事”。双随机抽查总体比例不少于监管对象的5％，要求对重点领域（如餐饮、食品、特设、质量安全、危化）等行业根据实际情况确定抽查比例上限，最高可达100%。随机抽查工作要于11月底前完成。</w:t>
      </w:r>
      <w:r>
        <w:rPr>
          <w:rFonts w:hint="eastAsia" w:ascii="仿宋" w:hAnsi="仿宋" w:eastAsia="仿宋" w:cs="仿宋"/>
          <w:b/>
          <w:bCs w:val="0"/>
          <w:sz w:val="32"/>
          <w:szCs w:val="32"/>
          <w:lang w:val="en-US" w:eastAsia="zh-CN"/>
        </w:rPr>
        <w:t>登记注册与信用监管室负责将2020年抽查计划录入系统工作平台(4月30日前完成）。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rightChars="0" w:firstLine="643" w:firstLineChars="200"/>
        <w:jc w:val="both"/>
        <w:textAlignment w:val="auto"/>
        <w:rPr>
          <w:rFonts w:hint="eastAsia" w:ascii="仿宋" w:hAnsi="仿宋" w:eastAsia="仿宋" w:cs="仿宋"/>
          <w:b w:val="0"/>
          <w:bCs/>
          <w:sz w:val="32"/>
          <w:szCs w:val="32"/>
          <w:lang w:val="en-US" w:eastAsia="zh-CN"/>
        </w:rPr>
      </w:pPr>
      <w:r>
        <w:rPr>
          <w:rFonts w:hint="eastAsia" w:ascii="仿宋" w:hAnsi="仿宋" w:eastAsia="仿宋" w:cs="仿宋"/>
          <w:b/>
          <w:bCs w:val="0"/>
          <w:sz w:val="32"/>
          <w:szCs w:val="32"/>
          <w:lang w:val="en-US" w:eastAsia="zh-CN"/>
        </w:rPr>
        <w:t>4.科学确定抽查检查方式。</w:t>
      </w:r>
      <w:r>
        <w:rPr>
          <w:rFonts w:hint="eastAsia" w:ascii="仿宋" w:hAnsi="仿宋" w:eastAsia="仿宋" w:cs="仿宋"/>
          <w:b w:val="0"/>
          <w:bCs/>
          <w:sz w:val="32"/>
          <w:szCs w:val="32"/>
          <w:lang w:val="en-US" w:eastAsia="zh-CN"/>
        </w:rPr>
        <w:t>按照随机抽查工作细则和工作指引，采取实地检查、书面检查、网络监测等方式，抽查可采用综合联查、风险分类联查、专项整治联查等模式开展。涉及专业领域的，可以委托有专业资质的第三方开展检验检测等工作。采取实地检查的，执法检查人员不得少于2人，应当出示行政执法证件。现场检查结束后，应当如实填写现场检查记录，由检查对象签字或者盖章。</w:t>
      </w:r>
      <w:r>
        <w:rPr>
          <w:rFonts w:hint="eastAsia" w:ascii="仿宋" w:hAnsi="仿宋" w:eastAsia="仿宋" w:cs="仿宋"/>
          <w:b/>
          <w:bCs w:val="0"/>
          <w:sz w:val="32"/>
          <w:szCs w:val="32"/>
          <w:lang w:val="en-US" w:eastAsia="zh-CN"/>
        </w:rPr>
        <w:t>每次随机抽查工作结束后要形成抽查情况报告，报告包括抽查时间，检查对象数量、抽查内容、抽查情况、处理意见和建议等内容。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rightChars="0" w:firstLine="643" w:firstLineChars="200"/>
        <w:jc w:val="both"/>
        <w:textAlignment w:val="auto"/>
        <w:rPr>
          <w:rFonts w:hint="eastAsia" w:ascii="仿宋" w:hAnsi="仿宋" w:eastAsia="仿宋" w:cs="仿宋"/>
          <w:b w:val="0"/>
          <w:bCs/>
          <w:sz w:val="32"/>
          <w:szCs w:val="32"/>
          <w:lang w:val="en-US" w:eastAsia="zh-CN"/>
        </w:rPr>
      </w:pPr>
      <w:r>
        <w:rPr>
          <w:rFonts w:hint="eastAsia" w:ascii="仿宋" w:hAnsi="仿宋" w:eastAsia="仿宋" w:cs="仿宋"/>
          <w:b/>
          <w:bCs w:val="0"/>
          <w:sz w:val="32"/>
          <w:szCs w:val="32"/>
          <w:lang w:val="en-US" w:eastAsia="zh-CN"/>
        </w:rPr>
        <w:t>5.强化抽查检查结果公示运用。</w:t>
      </w:r>
      <w:r>
        <w:rPr>
          <w:rFonts w:hint="eastAsia" w:ascii="仿宋" w:hAnsi="仿宋" w:eastAsia="仿宋" w:cs="仿宋"/>
          <w:b w:val="0"/>
          <w:bCs/>
          <w:sz w:val="32"/>
          <w:szCs w:val="32"/>
          <w:lang w:val="en-US" w:eastAsia="zh-CN"/>
        </w:rPr>
        <w:t>各相关科室、队、所应在抽查任务完成后20个工作日内，按照“谁检查、谁录入、谁公开”的原则，将抽查检查结果通过</w:t>
      </w:r>
      <w:r>
        <w:rPr>
          <w:rFonts w:hint="eastAsia" w:ascii="仿宋" w:hAnsi="仿宋" w:eastAsia="仿宋" w:cs="仿宋"/>
          <w:b w:val="0"/>
          <w:bCs/>
          <w:color w:val="auto"/>
          <w:sz w:val="32"/>
          <w:szCs w:val="32"/>
          <w:lang w:val="en-US" w:eastAsia="zh-CN"/>
        </w:rPr>
        <w:t>国家企业信用信息公示系统（宁夏）</w:t>
      </w:r>
      <w:r>
        <w:rPr>
          <w:rFonts w:hint="eastAsia" w:ascii="仿宋" w:hAnsi="仿宋" w:eastAsia="仿宋" w:cs="仿宋"/>
          <w:b w:val="0"/>
          <w:bCs/>
          <w:sz w:val="32"/>
          <w:szCs w:val="32"/>
          <w:lang w:val="en-US" w:eastAsia="zh-CN"/>
        </w:rPr>
        <w:t>进行公示并记于检查对象名下，接受社会监督。</w:t>
      </w:r>
      <w:r>
        <w:rPr>
          <w:rFonts w:hint="eastAsia" w:ascii="仿宋" w:hAnsi="仿宋" w:eastAsia="仿宋" w:cs="仿宋"/>
          <w:b/>
          <w:bCs w:val="0"/>
          <w:sz w:val="32"/>
          <w:szCs w:val="32"/>
          <w:lang w:val="en-US" w:eastAsia="zh-CN"/>
        </w:rPr>
        <w:t>各相关科室要建立“双随机、一公开”监管档案，抽查工作结束后，要将监管执法检查记录及相关材料整理归档备查。</w:t>
      </w:r>
      <w:r>
        <w:rPr>
          <w:rFonts w:hint="eastAsia" w:ascii="仿宋" w:hAnsi="仿宋" w:eastAsia="仿宋" w:cs="仿宋"/>
          <w:b w:val="0"/>
          <w:bCs/>
          <w:sz w:val="32"/>
          <w:szCs w:val="32"/>
          <w:lang w:val="en-US" w:eastAsia="zh-CN"/>
        </w:rPr>
        <w:t>对抽查检查中发现的问题，按照“谁监管、谁负责”的原则，及时移交违法线索，加强后续监管，防止监管脱节。对违法违规行为依法加大惩处力度，并对整改情况进行跟踪，涉嫌犯罪的及时移送司法机关。</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rightChars="0" w:firstLine="643" w:firstLineChars="200"/>
        <w:jc w:val="both"/>
        <w:textAlignment w:val="auto"/>
        <w:rPr>
          <w:rFonts w:hint="eastAsia" w:ascii="仿宋" w:hAnsi="仿宋" w:eastAsia="仿宋" w:cs="仿宋"/>
          <w:b w:val="0"/>
          <w:bCs/>
          <w:sz w:val="32"/>
          <w:szCs w:val="32"/>
          <w:lang w:val="en-US" w:eastAsia="zh-CN"/>
        </w:rPr>
      </w:pPr>
      <w:r>
        <w:rPr>
          <w:rFonts w:hint="eastAsia" w:ascii="仿宋" w:hAnsi="仿宋" w:eastAsia="仿宋" w:cs="仿宋"/>
          <w:b/>
          <w:bCs w:val="0"/>
          <w:sz w:val="32"/>
          <w:szCs w:val="32"/>
          <w:lang w:val="en-US" w:eastAsia="zh-CN"/>
        </w:rPr>
        <w:t>6.做好风险防控工作。</w:t>
      </w:r>
      <w:r>
        <w:rPr>
          <w:rFonts w:hint="eastAsia" w:ascii="仿宋" w:hAnsi="仿宋" w:eastAsia="仿宋" w:cs="仿宋"/>
          <w:b w:val="0"/>
          <w:bCs/>
          <w:sz w:val="32"/>
          <w:szCs w:val="32"/>
          <w:lang w:val="en-US" w:eastAsia="zh-CN"/>
        </w:rPr>
        <w:t>在做好“双随机、一公开”监管工作的同时，对涉及特殊重点领域、未列入抽查事项清单的事项要按现有方式严格监管。对通过投诉举报、转办交办、数据监測等发现的违法违规个案线索，立即实施检查、处置；需要立案查处的，按照行政处罚程序规定进行调查处理。坚持问题导向，对通过上述渠道发现的普遍性问题和市场秩序存在的突出风险，要通过双随机抽查等方式，对所涉抽查事项开展有针对性的专项检查，并根据实际情况确定抽查比例，确保不发生系统性、区城性风险。</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left="0" w:firstLine="643" w:firstLineChars="200"/>
        <w:jc w:val="both"/>
        <w:textAlignment w:val="auto"/>
        <w:rPr>
          <w:rFonts w:hint="eastAsia" w:ascii="仿宋" w:hAnsi="仿宋" w:eastAsia="仿宋" w:cs="仿宋"/>
          <w:b w:val="0"/>
          <w:bCs/>
          <w:sz w:val="32"/>
          <w:szCs w:val="32"/>
          <w:lang w:val="en-US" w:eastAsia="zh-CN"/>
        </w:rPr>
      </w:pPr>
      <w:r>
        <w:rPr>
          <w:rFonts w:hint="eastAsia" w:ascii="仿宋" w:hAnsi="仿宋" w:eastAsia="仿宋" w:cs="仿宋"/>
          <w:b/>
          <w:bCs w:val="0"/>
          <w:sz w:val="32"/>
          <w:szCs w:val="32"/>
          <w:lang w:val="en-US" w:eastAsia="zh-CN"/>
        </w:rPr>
        <w:t>7.开展部门联合抽查。</w:t>
      </w:r>
      <w:r>
        <w:rPr>
          <w:rFonts w:hint="eastAsia" w:ascii="仿宋" w:hAnsi="仿宋" w:eastAsia="仿宋" w:cs="仿宋"/>
          <w:sz w:val="32"/>
          <w:szCs w:val="32"/>
          <w:lang w:val="en-US" w:eastAsia="zh-CN"/>
        </w:rPr>
        <w:t>各相关科室、队要根据本部门职责，积极与相关部门开展部门联合抽查工作。</w:t>
      </w:r>
      <w:r>
        <w:rPr>
          <w:rFonts w:hint="eastAsia" w:ascii="仿宋" w:hAnsi="仿宋" w:eastAsia="仿宋" w:cs="仿宋"/>
          <w:b w:val="0"/>
          <w:bCs/>
          <w:sz w:val="32"/>
          <w:szCs w:val="32"/>
          <w:lang w:val="en-US" w:eastAsia="zh-CN"/>
        </w:rPr>
        <w:t>科学确定部门联合抽查的事项和参与部门，实现“进一次门、查多项事”。可以采取不定向方式确定检查对象，根据其经营范围确定参与部门和抽查事项；可根据市场监管风险的研判，确定联合抽查的范围并明确参与部门及所需抽查事项；也可以与专项整治相结合，将相关部门纳入联合抽查范围，在特定领域开展联合抽查；同时将联合抽查的比例和频次与抽查对象的信用分类状况或等级挂钩，对风险等级较高、信用水平较差或存在重大隐患的检查对象，适当增加抽查比例和频次。</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三、实施步骤</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jc w:val="both"/>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自1月开始至11月结東，分三个阶段进行。</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rightChars="0" w:firstLine="643" w:firstLineChars="200"/>
        <w:jc w:val="both"/>
        <w:textAlignment w:val="auto"/>
        <w:rPr>
          <w:rFonts w:hint="eastAsia" w:ascii="仿宋" w:hAnsi="仿宋" w:eastAsia="仿宋" w:cs="仿宋"/>
          <w:b w:val="0"/>
          <w:bCs/>
          <w:sz w:val="32"/>
          <w:szCs w:val="32"/>
          <w:lang w:val="en-US" w:eastAsia="zh-CN"/>
        </w:rPr>
      </w:pPr>
      <w:r>
        <w:rPr>
          <w:rFonts w:hint="eastAsia" w:ascii="仿宋" w:hAnsi="仿宋" w:eastAsia="仿宋" w:cs="仿宋"/>
          <w:b/>
          <w:bCs w:val="0"/>
          <w:sz w:val="32"/>
          <w:szCs w:val="32"/>
          <w:lang w:val="en-US" w:eastAsia="zh-CN"/>
        </w:rPr>
        <w:t>第一阶段</w:t>
      </w:r>
      <w:r>
        <w:rPr>
          <w:rFonts w:hint="eastAsia" w:ascii="仿宋" w:hAnsi="仿宋" w:eastAsia="仿宋" w:cs="仿宋"/>
          <w:b w:val="0"/>
          <w:bCs/>
          <w:sz w:val="32"/>
          <w:szCs w:val="32"/>
          <w:lang w:val="en-US" w:eastAsia="zh-CN"/>
        </w:rPr>
        <w:t>：动员部署阶段（1月至4月）。组织召开“双随机、一公开”监管工作会议，制定双随机工作计划及实施方案，学习相关政策文件，进行动员部署。</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3" w:firstLineChars="200"/>
        <w:jc w:val="both"/>
        <w:textAlignment w:val="auto"/>
        <w:rPr>
          <w:rFonts w:hint="eastAsia" w:ascii="仿宋" w:hAnsi="仿宋" w:eastAsia="仿宋" w:cs="仿宋"/>
          <w:b w:val="0"/>
          <w:bCs/>
          <w:sz w:val="32"/>
          <w:szCs w:val="32"/>
          <w:lang w:val="en-US" w:eastAsia="zh-CN"/>
        </w:rPr>
      </w:pPr>
      <w:r>
        <w:rPr>
          <w:rFonts w:hint="eastAsia" w:ascii="仿宋" w:hAnsi="仿宋" w:eastAsia="仿宋" w:cs="仿宋"/>
          <w:b/>
          <w:bCs w:val="0"/>
          <w:sz w:val="32"/>
          <w:szCs w:val="32"/>
          <w:lang w:val="en-US" w:eastAsia="zh-CN"/>
        </w:rPr>
        <w:t>第二阶段</w:t>
      </w:r>
      <w:r>
        <w:rPr>
          <w:rFonts w:hint="eastAsia" w:ascii="仿宋" w:hAnsi="仿宋" w:eastAsia="仿宋" w:cs="仿宋"/>
          <w:b w:val="0"/>
          <w:bCs/>
          <w:sz w:val="32"/>
          <w:szCs w:val="32"/>
          <w:lang w:val="en-US" w:eastAsia="zh-CN"/>
        </w:rPr>
        <w:t>：组织实施阶段（5月1日至10月31日）。各相关科室、队、所按照随机抽查工作计划，开展抽查检查，对抽查中发现的有关问题和违法线索，按照法定程序依法予以处理并及时将抽查情况及查处结果通过自治区监管平台向社会公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3" w:firstLineChars="200"/>
        <w:jc w:val="both"/>
        <w:textAlignment w:val="auto"/>
        <w:rPr>
          <w:rFonts w:hint="eastAsia" w:ascii="仿宋" w:hAnsi="仿宋" w:eastAsia="仿宋" w:cs="仿宋"/>
          <w:b w:val="0"/>
          <w:bCs/>
          <w:sz w:val="32"/>
          <w:szCs w:val="32"/>
          <w:lang w:val="en-US" w:eastAsia="zh-CN"/>
        </w:rPr>
      </w:pPr>
      <w:r>
        <w:rPr>
          <w:rFonts w:hint="eastAsia" w:ascii="仿宋" w:hAnsi="仿宋" w:eastAsia="仿宋" w:cs="仿宋"/>
          <w:b/>
          <w:bCs w:val="0"/>
          <w:sz w:val="32"/>
          <w:szCs w:val="32"/>
          <w:lang w:val="en-US" w:eastAsia="zh-CN"/>
        </w:rPr>
        <w:t>第三阶段：总结巩固阶段（11月）</w:t>
      </w:r>
      <w:r>
        <w:rPr>
          <w:rFonts w:hint="eastAsia" w:ascii="仿宋" w:hAnsi="仿宋" w:eastAsia="仿宋" w:cs="仿宋"/>
          <w:b w:val="0"/>
          <w:bCs/>
          <w:sz w:val="32"/>
          <w:szCs w:val="32"/>
          <w:lang w:val="en-US" w:eastAsia="zh-CN"/>
        </w:rPr>
        <w:t>。对双随机抽查工作进行总结，提出相关意见建议及下一步工作措施，并将工作总结报送上级部门。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四、工作要求</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420"/>
        </w:tabs>
        <w:kinsoku/>
        <w:wordWrap/>
        <w:overflowPunct/>
        <w:topLinePunct w:val="0"/>
        <w:autoSpaceDE/>
        <w:autoSpaceDN/>
        <w:bidi w:val="0"/>
        <w:adjustRightInd/>
        <w:snapToGrid/>
        <w:spacing w:before="0" w:beforeAutospacing="0" w:after="0" w:afterAutospacing="0" w:line="500" w:lineRule="exact"/>
        <w:ind w:left="0" w:leftChars="0" w:right="0" w:rightChars="0" w:firstLine="643" w:firstLineChars="200"/>
        <w:jc w:val="both"/>
        <w:textAlignment w:val="auto"/>
        <w:rPr>
          <w:rFonts w:hint="eastAsia" w:ascii="仿宋" w:hAnsi="仿宋" w:eastAsia="仿宋" w:cs="仿宋"/>
          <w:b w:val="0"/>
          <w:bCs/>
          <w:sz w:val="32"/>
          <w:szCs w:val="32"/>
          <w:lang w:val="en-US" w:eastAsia="zh-CN"/>
        </w:rPr>
      </w:pPr>
      <w:r>
        <w:rPr>
          <w:rFonts w:hint="eastAsia" w:ascii="楷体" w:hAnsi="楷体" w:eastAsia="楷体" w:cs="楷体"/>
          <w:b/>
          <w:bCs w:val="0"/>
          <w:sz w:val="32"/>
          <w:szCs w:val="32"/>
          <w:lang w:val="en-US" w:eastAsia="zh-CN"/>
        </w:rPr>
        <w:t>（一）加强组织领导。</w:t>
      </w:r>
      <w:r>
        <w:rPr>
          <w:rFonts w:hint="eastAsia" w:ascii="仿宋" w:hAnsi="仿宋" w:eastAsia="仿宋" w:cs="仿宋"/>
          <w:b w:val="0"/>
          <w:bCs/>
          <w:sz w:val="32"/>
          <w:szCs w:val="32"/>
          <w:lang w:val="en-US" w:eastAsia="zh-CN"/>
        </w:rPr>
        <w:t>为了开展好随机抽查工作，县局成立“双随机、一公开”监管工作领导小组，</w:t>
      </w:r>
      <w:r>
        <w:rPr>
          <w:rFonts w:hint="eastAsia" w:ascii="仿宋" w:hAnsi="仿宋" w:eastAsia="仿宋" w:cs="仿宋"/>
          <w:bCs/>
          <w:color w:val="auto"/>
          <w:sz w:val="32"/>
          <w:szCs w:val="32"/>
          <w:lang w:eastAsia="zh-CN"/>
        </w:rPr>
        <w:t>局党组书记、</w:t>
      </w:r>
      <w:r>
        <w:rPr>
          <w:rFonts w:hint="eastAsia" w:ascii="仿宋" w:hAnsi="仿宋" w:eastAsia="仿宋" w:cs="仿宋"/>
          <w:bCs/>
          <w:color w:val="auto"/>
          <w:sz w:val="32"/>
          <w:szCs w:val="32"/>
        </w:rPr>
        <w:t>局长</w:t>
      </w:r>
      <w:r>
        <w:rPr>
          <w:rFonts w:hint="eastAsia" w:ascii="仿宋" w:hAnsi="仿宋" w:eastAsia="仿宋" w:cs="仿宋"/>
          <w:bCs/>
          <w:color w:val="auto"/>
          <w:sz w:val="32"/>
          <w:szCs w:val="32"/>
          <w:lang w:eastAsia="zh-CN"/>
        </w:rPr>
        <w:t>代正礼</w:t>
      </w:r>
      <w:r>
        <w:rPr>
          <w:rFonts w:hint="eastAsia" w:ascii="仿宋" w:hAnsi="仿宋" w:eastAsia="仿宋" w:cs="仿宋"/>
          <w:bCs/>
          <w:color w:val="auto"/>
          <w:sz w:val="32"/>
          <w:szCs w:val="32"/>
        </w:rPr>
        <w:t>任组长</w:t>
      </w:r>
      <w:r>
        <w:rPr>
          <w:rFonts w:hint="eastAsia" w:ascii="仿宋" w:hAnsi="仿宋" w:eastAsia="仿宋" w:cs="仿宋"/>
          <w:b w:val="0"/>
          <w:bCs/>
          <w:sz w:val="32"/>
          <w:szCs w:val="32"/>
          <w:lang w:val="en-US" w:eastAsia="zh-CN"/>
        </w:rPr>
        <w:t>，各副局长任副组长，各室、所、队</w:t>
      </w:r>
      <w:r>
        <w:rPr>
          <w:rFonts w:hint="eastAsia" w:ascii="仿宋" w:hAnsi="仿宋" w:eastAsia="仿宋" w:cs="仿宋"/>
          <w:sz w:val="32"/>
          <w:szCs w:val="32"/>
          <w:lang w:val="en-US" w:eastAsia="zh-CN"/>
        </w:rPr>
        <w:t>负责人为成员，领导小组办公室设在登记注册与信用监管室，具体负责双随机抽查的日常工作。</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rightChars="0" w:firstLine="643" w:firstLineChars="200"/>
        <w:jc w:val="both"/>
        <w:textAlignment w:val="auto"/>
        <w:rPr>
          <w:rFonts w:hint="eastAsia" w:ascii="仿宋" w:hAnsi="仿宋" w:eastAsia="仿宋" w:cs="仿宋"/>
          <w:b w:val="0"/>
          <w:bCs/>
          <w:sz w:val="32"/>
          <w:szCs w:val="32"/>
          <w:lang w:val="en-US" w:eastAsia="zh-CN"/>
        </w:rPr>
      </w:pPr>
      <w:r>
        <w:rPr>
          <w:rFonts w:hint="eastAsia" w:ascii="楷体" w:hAnsi="楷体" w:eastAsia="楷体" w:cs="楷体"/>
          <w:b/>
          <w:bCs w:val="0"/>
          <w:sz w:val="32"/>
          <w:szCs w:val="32"/>
          <w:lang w:val="en-US" w:eastAsia="zh-CN"/>
        </w:rPr>
        <w:t>（二）厘清责任边界</w:t>
      </w:r>
      <w:r>
        <w:rPr>
          <w:rFonts w:hint="eastAsia" w:ascii="楷体" w:hAnsi="楷体" w:eastAsia="楷体" w:cs="楷体"/>
          <w:b w:val="0"/>
          <w:bCs/>
          <w:sz w:val="32"/>
          <w:szCs w:val="32"/>
          <w:lang w:val="en-US" w:eastAsia="zh-CN"/>
        </w:rPr>
        <w:t>。</w:t>
      </w:r>
      <w:r>
        <w:rPr>
          <w:rFonts w:hint="eastAsia" w:ascii="仿宋" w:hAnsi="仿宋" w:eastAsia="仿宋" w:cs="仿宋"/>
          <w:b w:val="0"/>
          <w:bCs/>
          <w:sz w:val="32"/>
          <w:szCs w:val="32"/>
          <w:lang w:val="en-US" w:eastAsia="zh-CN"/>
        </w:rPr>
        <w:t>各相关科室、队、所要进一步増强责任意识，认真贯彻落实县局工作实施方案。县局将按照“尽职照单免责，失职照单问责”原则，对在随机抽查工作中忠于职守、尽职尽责的，给予表扬和鼓励;对未履行、不当履行或违法履行“双随机、一公开”监管职责的，要依法依规严肃处理;涉嫌犯罪的，要移送司法机关依法处理。对在随机抽查检查中相关市场主体出现问题的，县局将结合执法检查入员工作态度、工作程序方法、客观条件等进行综合分析研判，该免责的依法依规免予追究相关责任，坚持既严格问责追责，又有效保护执法检查人员担当作为、干事创业的积极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both"/>
        <w:textAlignment w:val="auto"/>
        <w:rPr>
          <w:rFonts w:hint="eastAsia" w:ascii="仿宋" w:hAnsi="仿宋" w:eastAsia="仿宋" w:cs="仿宋"/>
          <w:i w:val="0"/>
          <w:caps w:val="0"/>
          <w:color w:val="333333"/>
          <w:spacing w:val="0"/>
          <w:kern w:val="0"/>
          <w:sz w:val="32"/>
          <w:szCs w:val="32"/>
          <w:shd w:val="clear" w:color="auto" w:fill="FFFFFF"/>
          <w:lang w:val="en-US" w:eastAsia="zh-CN" w:bidi="ar"/>
        </w:rPr>
      </w:pPr>
      <w:r>
        <w:rPr>
          <w:rFonts w:hint="eastAsia" w:ascii="楷体" w:hAnsi="楷体" w:eastAsia="楷体" w:cs="楷体"/>
          <w:b/>
          <w:bCs w:val="0"/>
          <w:sz w:val="32"/>
          <w:szCs w:val="32"/>
          <w:lang w:val="en-US" w:eastAsia="zh-CN"/>
        </w:rPr>
        <w:t>（三）加强宣传培训</w:t>
      </w:r>
      <w:r>
        <w:rPr>
          <w:rFonts w:hint="eastAsia" w:ascii="楷体" w:hAnsi="楷体" w:eastAsia="楷体" w:cs="楷体"/>
          <w:b w:val="0"/>
          <w:bCs/>
          <w:sz w:val="32"/>
          <w:szCs w:val="32"/>
          <w:lang w:val="en-US" w:eastAsia="zh-CN"/>
        </w:rPr>
        <w:t>。</w:t>
      </w:r>
      <w:r>
        <w:rPr>
          <w:rFonts w:hint="eastAsia" w:ascii="仿宋" w:hAnsi="仿宋" w:eastAsia="仿宋" w:cs="仿宋"/>
          <w:i w:val="0"/>
          <w:caps w:val="0"/>
          <w:color w:val="333333"/>
          <w:spacing w:val="0"/>
          <w:kern w:val="0"/>
          <w:sz w:val="32"/>
          <w:szCs w:val="32"/>
          <w:shd w:val="clear" w:color="auto" w:fill="FFFFFF"/>
          <w:lang w:val="en-US" w:eastAsia="zh-CN" w:bidi="ar"/>
        </w:rPr>
        <w:t>要加强舆论宣传，通过新闻报道、专题片等形式主动向社会宣传“双随机、一公开”监管工作做法和成效，提升“双随机、一公开”监管的社会影响力和公众知晓，加强形成政府公正监管、企业诚信自律、社会公众监督的良好氛围。县局将组织分层次的业务培训，重点加强业务骨干的培训，同时加强对一线执法检查人员的工作指导，提升监管执法能力。</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rightChars="0" w:firstLine="643" w:firstLineChars="200"/>
        <w:jc w:val="both"/>
        <w:textAlignment w:val="auto"/>
        <w:rPr>
          <w:rFonts w:hint="eastAsia" w:ascii="仿宋" w:hAnsi="仿宋" w:eastAsia="仿宋" w:cs="仿宋"/>
          <w:i w:val="0"/>
          <w:caps w:val="0"/>
          <w:color w:val="333333"/>
          <w:spacing w:val="0"/>
          <w:kern w:val="0"/>
          <w:sz w:val="32"/>
          <w:szCs w:val="32"/>
          <w:shd w:val="clear" w:color="auto" w:fill="FFFFFF"/>
          <w:lang w:val="en-US" w:eastAsia="zh-CN" w:bidi="ar"/>
        </w:rPr>
      </w:pPr>
      <w:r>
        <w:rPr>
          <w:rFonts w:hint="eastAsia" w:ascii="楷体" w:hAnsi="楷体" w:eastAsia="楷体" w:cs="楷体"/>
          <w:b/>
          <w:bCs/>
          <w:i w:val="0"/>
          <w:caps w:val="0"/>
          <w:color w:val="333333"/>
          <w:spacing w:val="0"/>
          <w:kern w:val="0"/>
          <w:sz w:val="32"/>
          <w:szCs w:val="32"/>
          <w:shd w:val="clear" w:color="auto" w:fill="FFFFFF"/>
          <w:lang w:val="en-US" w:eastAsia="zh-CN" w:bidi="ar"/>
        </w:rPr>
        <w:t>(四)注意保存和报送工作资料。</w:t>
      </w:r>
      <w:r>
        <w:rPr>
          <w:rFonts w:hint="eastAsia" w:ascii="仿宋" w:hAnsi="仿宋" w:eastAsia="仿宋" w:cs="仿宋"/>
          <w:b w:val="0"/>
          <w:bCs/>
          <w:sz w:val="32"/>
          <w:szCs w:val="32"/>
          <w:lang w:val="en-US" w:eastAsia="zh-CN"/>
        </w:rPr>
        <w:t>各相关科室、队、所</w:t>
      </w:r>
      <w:r>
        <w:rPr>
          <w:rFonts w:hint="eastAsia" w:ascii="仿宋" w:hAnsi="仿宋" w:eastAsia="仿宋" w:cs="仿宋"/>
          <w:i w:val="0"/>
          <w:caps w:val="0"/>
          <w:color w:val="333333"/>
          <w:spacing w:val="0"/>
          <w:kern w:val="0"/>
          <w:sz w:val="32"/>
          <w:szCs w:val="32"/>
          <w:shd w:val="clear" w:color="auto" w:fill="FFFFFF"/>
          <w:lang w:val="en-US" w:eastAsia="zh-CN" w:bidi="ar"/>
        </w:rPr>
        <w:t>在开展双随机抽查工作时，要注意保留相关工作资料，建立随机抽查工作档案，及时报送工作信息。6月15日前、11月15日前将半年工作情况、全年工作总结报</w:t>
      </w:r>
      <w:r>
        <w:rPr>
          <w:rFonts w:hint="eastAsia" w:ascii="仿宋" w:hAnsi="仿宋" w:eastAsia="仿宋" w:cs="仿宋"/>
          <w:sz w:val="32"/>
          <w:szCs w:val="32"/>
          <w:lang w:val="en-US" w:eastAsia="zh-CN"/>
        </w:rPr>
        <w:t>登记注册与信用监管室</w:t>
      </w:r>
      <w:r>
        <w:rPr>
          <w:rFonts w:hint="eastAsia" w:ascii="仿宋" w:hAnsi="仿宋" w:eastAsia="仿宋" w:cs="仿宋"/>
          <w:i w:val="0"/>
          <w:caps w:val="0"/>
          <w:color w:val="333333"/>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rightChars="0" w:firstLine="640" w:firstLineChars="200"/>
        <w:jc w:val="both"/>
        <w:textAlignment w:val="auto"/>
        <w:rPr>
          <w:rFonts w:hint="eastAsia" w:ascii="仿宋" w:hAnsi="仿宋" w:eastAsia="仿宋" w:cs="仿宋"/>
          <w:i w:val="0"/>
          <w:caps w:val="0"/>
          <w:color w:val="333333"/>
          <w:spacing w:val="0"/>
          <w:kern w:val="0"/>
          <w:sz w:val="32"/>
          <w:szCs w:val="32"/>
          <w:shd w:val="clear" w:color="auto"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rightChars="0" w:firstLine="640" w:firstLineChars="200"/>
        <w:jc w:val="both"/>
        <w:textAlignment w:val="auto"/>
        <w:rPr>
          <w:rFonts w:hint="eastAsia" w:ascii="仿宋" w:hAnsi="仿宋" w:eastAsia="仿宋"/>
          <w:sz w:val="32"/>
          <w:szCs w:val="32"/>
          <w:lang w:eastAsia="zh-CN"/>
        </w:rPr>
      </w:pPr>
      <w:r>
        <w:rPr>
          <w:rFonts w:hint="eastAsia" w:ascii="仿宋" w:hAnsi="仿宋" w:eastAsia="仿宋" w:cs="仿宋"/>
          <w:b w:val="0"/>
          <w:bCs/>
          <w:sz w:val="32"/>
          <w:szCs w:val="32"/>
          <w:lang w:val="en-US" w:eastAsia="zh-CN"/>
        </w:rPr>
        <w:t>附件 :</w:t>
      </w:r>
      <w:r>
        <w:rPr>
          <w:rFonts w:hint="eastAsia" w:ascii="仿宋" w:hAnsi="仿宋" w:eastAsia="仿宋"/>
          <w:sz w:val="32"/>
          <w:szCs w:val="32"/>
          <w:lang w:val="en-US" w:eastAsia="zh-CN"/>
        </w:rPr>
        <w:t>1.</w:t>
      </w:r>
      <w:r>
        <w:rPr>
          <w:rFonts w:hint="eastAsia" w:ascii="仿宋" w:hAnsi="仿宋" w:eastAsia="仿宋"/>
          <w:sz w:val="32"/>
          <w:szCs w:val="32"/>
          <w:lang w:eastAsia="zh-CN"/>
        </w:rPr>
        <w:t>平罗县</w:t>
      </w:r>
      <w:r>
        <w:rPr>
          <w:rFonts w:hint="eastAsia" w:ascii="仿宋" w:hAnsi="仿宋" w:eastAsia="仿宋"/>
          <w:sz w:val="32"/>
          <w:szCs w:val="32"/>
        </w:rPr>
        <w:t>市场监管</w:t>
      </w:r>
      <w:r>
        <w:rPr>
          <w:rFonts w:hint="eastAsia" w:ascii="仿宋" w:hAnsi="仿宋" w:eastAsia="仿宋"/>
          <w:sz w:val="32"/>
          <w:szCs w:val="32"/>
          <w:lang w:eastAsia="zh-CN"/>
        </w:rPr>
        <w:t>局</w:t>
      </w:r>
      <w:r>
        <w:rPr>
          <w:rFonts w:hint="eastAsia" w:ascii="仿宋" w:hAnsi="仿宋" w:eastAsia="仿宋"/>
          <w:sz w:val="32"/>
          <w:szCs w:val="32"/>
        </w:rPr>
        <w:t>随机抽查事项清单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rightChars="0" w:firstLine="1600" w:firstLineChars="5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2.2020年度“双随机、一公开”工作计划</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rightChars="0" w:firstLine="1600" w:firstLineChars="500"/>
        <w:jc w:val="both"/>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3.“双随机、一公开”抽查执法人员、市场主体</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rightChars="0" w:firstLine="1920" w:firstLineChars="600"/>
        <w:jc w:val="both"/>
        <w:textAlignment w:val="auto"/>
        <w:rPr>
          <w:rFonts w:hint="eastAsia" w:ascii="仿宋" w:hAnsi="仿宋" w:eastAsia="仿宋"/>
          <w:sz w:val="32"/>
          <w:szCs w:val="32"/>
          <w:lang w:val="en-US" w:eastAsia="zh-CN"/>
        </w:rPr>
      </w:pPr>
      <w:r>
        <w:rPr>
          <w:rFonts w:hint="eastAsia" w:ascii="仿宋" w:hAnsi="仿宋" w:eastAsia="仿宋" w:cs="仿宋"/>
          <w:b w:val="0"/>
          <w:bCs/>
          <w:sz w:val="32"/>
          <w:szCs w:val="32"/>
          <w:lang w:val="en-US" w:eastAsia="zh-CN"/>
        </w:rPr>
        <w:t>选派（抽取）记录单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rightChars="0" w:firstLine="1600" w:firstLineChars="500"/>
        <w:jc w:val="both"/>
        <w:textAlignment w:val="auto"/>
        <w:rPr>
          <w:rFonts w:hint="eastAsia" w:ascii="仿宋" w:hAnsi="仿宋" w:eastAsia="仿宋"/>
          <w:sz w:val="32"/>
          <w:szCs w:val="32"/>
          <w:lang w:val="en-US" w:eastAsia="zh-CN"/>
        </w:rPr>
      </w:pPr>
      <w:r>
        <w:rPr>
          <w:rFonts w:hint="eastAsia" w:ascii="仿宋" w:hAnsi="仿宋" w:eastAsia="仿宋" w:cs="仿宋"/>
          <w:b w:val="0"/>
          <w:bCs/>
          <w:sz w:val="32"/>
          <w:szCs w:val="32"/>
          <w:lang w:val="en-US" w:eastAsia="zh-CN"/>
        </w:rPr>
        <w:t>4.“双随机、一公开”抽查情况记录表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rightChars="0" w:firstLine="1600" w:firstLineChars="500"/>
        <w:jc w:val="both"/>
        <w:textAlignment w:val="auto"/>
        <w:rPr>
          <w:rFonts w:hint="eastAsia" w:ascii="仿宋" w:hAnsi="仿宋" w:eastAsia="仿宋"/>
          <w:sz w:val="32"/>
          <w:szCs w:val="32"/>
          <w:lang w:val="en-US" w:eastAsia="zh-CN"/>
        </w:rPr>
      </w:pPr>
      <w:r>
        <w:rPr>
          <w:rFonts w:hint="eastAsia" w:ascii="仿宋" w:hAnsi="仿宋" w:eastAsia="仿宋" w:cs="仿宋"/>
          <w:b w:val="0"/>
          <w:bCs/>
          <w:sz w:val="32"/>
          <w:szCs w:val="32"/>
          <w:lang w:val="en-US" w:eastAsia="zh-CN"/>
        </w:rPr>
        <w:t>5.“双随机、一公开”抽查情况汇总表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560" w:leftChars="0" w:right="0" w:rightChars="0"/>
        <w:jc w:val="left"/>
        <w:textAlignment w:val="auto"/>
        <w:rPr>
          <w:rFonts w:hint="default" w:ascii="仿宋" w:hAnsi="仿宋" w:eastAsia="仿宋" w:cs="仿宋"/>
          <w:b w:val="0"/>
          <w:bCs/>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560" w:leftChars="0" w:right="0" w:rightChars="0" w:firstLine="2880" w:firstLineChars="900"/>
        <w:jc w:val="left"/>
        <w:textAlignment w:val="auto"/>
        <w:rPr>
          <w:rFonts w:hint="eastAsia" w:ascii="仿宋" w:hAnsi="仿宋" w:eastAsia="仿宋" w:cs="仿宋"/>
          <w:b w:val="0"/>
          <w:bCs/>
          <w:sz w:val="32"/>
          <w:szCs w:val="32"/>
          <w:lang w:val="en-US" w:eastAsia="zh-CN"/>
        </w:rPr>
      </w:pPr>
    </w:p>
    <w:p>
      <w:pPr>
        <w:sectPr>
          <w:headerReference r:id="rId3" w:type="default"/>
          <w:footerReference r:id="rId4" w:type="default"/>
          <w:pgSz w:w="11907" w:h="16840"/>
          <w:pgMar w:top="1474" w:right="1474" w:bottom="1474" w:left="1474" w:header="851" w:footer="1015" w:gutter="0"/>
          <w:cols w:space="720" w:num="1"/>
          <w:docGrid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tbl>
      <w:tblPr>
        <w:tblStyle w:val="4"/>
        <w:tblW w:w="14892" w:type="dxa"/>
        <w:tblInd w:w="0" w:type="dxa"/>
        <w:tblLayout w:type="fixed"/>
        <w:tblCellMar>
          <w:top w:w="0" w:type="dxa"/>
          <w:left w:w="0" w:type="dxa"/>
          <w:bottom w:w="0" w:type="dxa"/>
          <w:right w:w="0" w:type="dxa"/>
        </w:tblCellMar>
      </w:tblPr>
      <w:tblGrid>
        <w:gridCol w:w="326"/>
        <w:gridCol w:w="803"/>
        <w:gridCol w:w="1590"/>
        <w:gridCol w:w="1807"/>
        <w:gridCol w:w="812"/>
        <w:gridCol w:w="1161"/>
        <w:gridCol w:w="1185"/>
        <w:gridCol w:w="7208"/>
      </w:tblGrid>
      <w:tr>
        <w:tblPrEx>
          <w:tblCellMar>
            <w:top w:w="0" w:type="dxa"/>
            <w:left w:w="0" w:type="dxa"/>
            <w:bottom w:w="0" w:type="dxa"/>
            <w:right w:w="0" w:type="dxa"/>
          </w:tblCellMar>
        </w:tblPrEx>
        <w:trPr>
          <w:trHeight w:val="855" w:hRule="atLeast"/>
        </w:trPr>
        <w:tc>
          <w:tcPr>
            <w:tcW w:w="14892" w:type="dxa"/>
            <w:gridSpan w:val="8"/>
            <w:tcBorders>
              <w:top w:val="nil"/>
              <w:left w:val="nil"/>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2"/>
                <w:szCs w:val="32"/>
                <w:u w:val="none"/>
              </w:rPr>
            </w:pPr>
            <w:r>
              <w:rPr>
                <w:rFonts w:hint="eastAsia" w:ascii="方正小标宋简体" w:hAnsi="方正小标宋简体" w:eastAsia="方正小标宋简体" w:cs="方正小标宋简体"/>
                <w:i w:val="0"/>
                <w:color w:val="000000"/>
                <w:kern w:val="0"/>
                <w:sz w:val="32"/>
                <w:szCs w:val="32"/>
                <w:u w:val="none"/>
                <w:lang w:val="en-US" w:eastAsia="zh-CN" w:bidi="ar"/>
              </w:rPr>
              <w:t>平罗县</w:t>
            </w:r>
            <w:r>
              <w:rPr>
                <w:rFonts w:hint="default" w:ascii="方正小标宋简体" w:hAnsi="方正小标宋简体" w:eastAsia="方正小标宋简体" w:cs="方正小标宋简体"/>
                <w:i w:val="0"/>
                <w:color w:val="000000"/>
                <w:kern w:val="0"/>
                <w:sz w:val="32"/>
                <w:szCs w:val="32"/>
                <w:u w:val="none"/>
                <w:lang w:val="en-US" w:eastAsia="zh-CN" w:bidi="ar"/>
              </w:rPr>
              <w:t>市场监管</w:t>
            </w:r>
            <w:r>
              <w:rPr>
                <w:rFonts w:hint="eastAsia" w:ascii="方正小标宋简体" w:hAnsi="方正小标宋简体" w:eastAsia="方正小标宋简体" w:cs="方正小标宋简体"/>
                <w:i w:val="0"/>
                <w:color w:val="000000"/>
                <w:kern w:val="0"/>
                <w:sz w:val="32"/>
                <w:szCs w:val="32"/>
                <w:u w:val="none"/>
                <w:lang w:val="en-US" w:eastAsia="zh-CN" w:bidi="ar"/>
              </w:rPr>
              <w:t>局</w:t>
            </w:r>
            <w:r>
              <w:rPr>
                <w:rFonts w:hint="default" w:ascii="方正小标宋简体" w:hAnsi="方正小标宋简体" w:eastAsia="方正小标宋简体" w:cs="方正小标宋简体"/>
                <w:i w:val="0"/>
                <w:color w:val="000000"/>
                <w:kern w:val="0"/>
                <w:sz w:val="32"/>
                <w:szCs w:val="32"/>
                <w:u w:val="none"/>
                <w:lang w:val="en-US" w:eastAsia="zh-CN" w:bidi="ar"/>
              </w:rPr>
              <w:t>随机抽查事项清单</w:t>
            </w:r>
            <w:r>
              <w:rPr>
                <w:rFonts w:hint="eastAsia" w:ascii="方正小标宋简体" w:hAnsi="方正小标宋简体" w:eastAsia="方正小标宋简体" w:cs="方正小标宋简体"/>
                <w:i w:val="0"/>
                <w:color w:val="000000"/>
                <w:kern w:val="0"/>
                <w:sz w:val="32"/>
                <w:szCs w:val="32"/>
                <w:u w:val="none"/>
                <w:lang w:val="en-US" w:eastAsia="zh-CN" w:bidi="ar"/>
              </w:rPr>
              <w:t>（第一批）</w:t>
            </w:r>
          </w:p>
        </w:tc>
      </w:tr>
      <w:tr>
        <w:tblPrEx>
          <w:tblCellMar>
            <w:top w:w="0" w:type="dxa"/>
            <w:left w:w="0" w:type="dxa"/>
            <w:bottom w:w="0" w:type="dxa"/>
            <w:right w:w="0" w:type="dxa"/>
          </w:tblCellMar>
        </w:tblPrEx>
        <w:trPr>
          <w:trHeight w:val="315" w:hRule="atLeast"/>
        </w:trPr>
        <w:tc>
          <w:tcPr>
            <w:tcW w:w="3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序号</w:t>
            </w:r>
          </w:p>
        </w:tc>
        <w:tc>
          <w:tcPr>
            <w:tcW w:w="23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抽查项目</w:t>
            </w:r>
          </w:p>
        </w:tc>
        <w:tc>
          <w:tcPr>
            <w:tcW w:w="180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检查对象</w:t>
            </w:r>
          </w:p>
        </w:tc>
        <w:tc>
          <w:tcPr>
            <w:tcW w:w="8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事项类别</w:t>
            </w:r>
          </w:p>
        </w:tc>
        <w:tc>
          <w:tcPr>
            <w:tcW w:w="116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检查方式</w:t>
            </w:r>
          </w:p>
        </w:tc>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检查主体</w:t>
            </w:r>
          </w:p>
        </w:tc>
        <w:tc>
          <w:tcPr>
            <w:tcW w:w="72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检查依据</w:t>
            </w:r>
          </w:p>
        </w:tc>
      </w:tr>
      <w:tr>
        <w:tblPrEx>
          <w:tblCellMar>
            <w:top w:w="0" w:type="dxa"/>
            <w:left w:w="0" w:type="dxa"/>
            <w:bottom w:w="0" w:type="dxa"/>
            <w:right w:w="0" w:type="dxa"/>
          </w:tblCellMar>
        </w:tblPrEx>
        <w:trPr>
          <w:trHeight w:val="297"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抽查类别</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18"/>
                <w:szCs w:val="18"/>
                <w:u w:val="none"/>
              </w:rPr>
            </w:pPr>
            <w:r>
              <w:rPr>
                <w:rFonts w:hint="eastAsia" w:ascii="黑体" w:hAnsi="宋体" w:eastAsia="黑体" w:cs="黑体"/>
                <w:i w:val="0"/>
                <w:color w:val="000000"/>
                <w:kern w:val="0"/>
                <w:sz w:val="18"/>
                <w:szCs w:val="18"/>
                <w:u w:val="none"/>
                <w:lang w:val="en-US" w:eastAsia="zh-CN" w:bidi="ar"/>
              </w:rPr>
              <w:t>抽查事项</w:t>
            </w:r>
          </w:p>
        </w:tc>
        <w:tc>
          <w:tcPr>
            <w:tcW w:w="18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11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c>
          <w:tcPr>
            <w:tcW w:w="72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000000"/>
                <w:sz w:val="18"/>
                <w:szCs w:val="18"/>
                <w:u w:val="none"/>
              </w:rPr>
            </w:pPr>
          </w:p>
        </w:tc>
      </w:tr>
      <w:tr>
        <w:tblPrEx>
          <w:tblCellMar>
            <w:top w:w="0" w:type="dxa"/>
            <w:left w:w="0" w:type="dxa"/>
            <w:bottom w:w="0" w:type="dxa"/>
            <w:right w:w="0" w:type="dxa"/>
          </w:tblCellMar>
        </w:tblPrEx>
        <w:trPr>
          <w:trHeight w:val="3248" w:hRule="atLeast"/>
        </w:trPr>
        <w:tc>
          <w:tcPr>
            <w:tcW w:w="3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ascii="仿宋_GB2312" w:hAnsi="宋体" w:eastAsia="仿宋_GB2312" w:cs="仿宋_GB2312"/>
                <w:i w:val="0"/>
                <w:color w:val="000000"/>
                <w:sz w:val="18"/>
                <w:szCs w:val="18"/>
                <w:u w:val="none"/>
              </w:rPr>
            </w:pPr>
            <w:r>
              <w:rPr>
                <w:rFonts w:hint="default" w:ascii="仿宋_GB2312" w:hAnsi="宋体" w:eastAsia="仿宋_GB2312" w:cs="仿宋_GB2312"/>
                <w:i w:val="0"/>
                <w:color w:val="000000"/>
                <w:kern w:val="0"/>
                <w:sz w:val="18"/>
                <w:szCs w:val="18"/>
                <w:u w:val="none"/>
                <w:lang w:val="en-US" w:eastAsia="zh-CN" w:bidi="ar"/>
              </w:rPr>
              <w:t>1</w:t>
            </w:r>
          </w:p>
        </w:tc>
        <w:tc>
          <w:tcPr>
            <w:tcW w:w="80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top"/>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登记事项检查</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营业执照（登记证）规范使用情况的检查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企业、个体工商户、农民专业合作社、外国企业常驻代表机构</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现场检查、网络检查</w:t>
            </w:r>
          </w:p>
        </w:tc>
        <w:tc>
          <w:tcPr>
            <w:tcW w:w="118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default" w:ascii="仿宋_GB2312" w:hAnsi="宋体" w:eastAsia="仿宋_GB2312" w:cs="仿宋_GB2312"/>
                <w:i w:val="0"/>
                <w:color w:val="000000"/>
                <w:sz w:val="21"/>
                <w:szCs w:val="21"/>
                <w:u w:val="none"/>
                <w:lang w:val="en-US" w:eastAsia="zh-CN"/>
              </w:rPr>
            </w:pPr>
            <w:r>
              <w:rPr>
                <w:rFonts w:hint="eastAsia" w:ascii="仿宋_GB2312" w:hAnsi="宋体" w:eastAsia="仿宋_GB2312" w:cs="仿宋_GB2312"/>
                <w:i w:val="0"/>
                <w:color w:val="000000"/>
                <w:sz w:val="21"/>
                <w:szCs w:val="21"/>
                <w:u w:val="none"/>
                <w:lang w:val="en-US" w:eastAsia="zh-CN"/>
              </w:rPr>
              <w:t>登记注册室</w:t>
            </w:r>
          </w:p>
        </w:tc>
        <w:tc>
          <w:tcPr>
            <w:tcW w:w="7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《企业法人登记管理条例》第二十九条第一款</w:t>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《公司登记管理条例》第七十一条、第七十二条</w:t>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《合伙企业登记管理办法》第四十三条、第四十四条</w:t>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《外商投资合伙企业登记管理规定》第五十七条、第五十八条</w:t>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《个人独资企业法》第三十五条</w:t>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《个人独资企业登记管理办法》第四十条、第四十一条、第四十二条、第四十三条</w:t>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《个体工商户条例》第二十二条</w:t>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《农民专业合作社登记管理条例》第二十七条</w:t>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《外国企业常驻代表机构登记管理条例》第十八条、第十九条、第三十六条第三款、第三十八条</w:t>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《电子商务法》第十五条</w:t>
            </w:r>
          </w:p>
        </w:tc>
      </w:tr>
      <w:tr>
        <w:tblPrEx>
          <w:tblCellMar>
            <w:top w:w="0" w:type="dxa"/>
            <w:left w:w="0" w:type="dxa"/>
            <w:bottom w:w="0" w:type="dxa"/>
            <w:right w:w="0" w:type="dxa"/>
          </w:tblCellMar>
        </w:tblPrEx>
        <w:trPr>
          <w:trHeight w:val="312"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default" w:ascii="仿宋_GB2312" w:hAnsi="宋体" w:eastAsia="仿宋_GB2312" w:cs="仿宋_GB2312"/>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20" w:lineRule="atLeast"/>
              <w:jc w:val="center"/>
              <w:rPr>
                <w:rFonts w:hint="default" w:ascii="仿宋_GB2312" w:hAnsi="宋体" w:eastAsia="仿宋_GB2312" w:cs="仿宋_GB2312"/>
                <w:i w:val="0"/>
                <w:color w:val="000000"/>
                <w:sz w:val="21"/>
                <w:szCs w:val="21"/>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名称规范使用情况的检查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企业、个体工商户、农民专业合作社、外国企业常驻代表机构</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现场检查、网络检查</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default" w:ascii="仿宋_GB2312" w:hAnsi="宋体" w:eastAsia="仿宋_GB2312" w:cs="仿宋_GB2312"/>
                <w:i w:val="0"/>
                <w:color w:val="000000"/>
                <w:sz w:val="21"/>
                <w:szCs w:val="21"/>
                <w:u w:val="none"/>
              </w:rPr>
            </w:pPr>
          </w:p>
        </w:tc>
        <w:tc>
          <w:tcPr>
            <w:tcW w:w="7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 xml:space="preserve">《企业名称登记管理规定》第二十六条、二十七条 </w:t>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《个体工商户条例》第二十三条 第一款</w:t>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 xml:space="preserve">《农民专业合作社登记管理条例》第二十七条 </w:t>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 xml:space="preserve">《外国企业常驻代表机构登记管理条例》第三十八条 </w:t>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 xml:space="preserve">《个人独资企业法》第三十四条 </w:t>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 xml:space="preserve">《合伙企业法》第九十四条 </w:t>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 xml:space="preserve">《合伙企业登记管理办法》第四十条 </w:t>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《外商投资合伙企业登记管理规定》第五十四条</w:t>
            </w:r>
          </w:p>
        </w:tc>
      </w:tr>
      <w:tr>
        <w:tblPrEx>
          <w:tblCellMar>
            <w:top w:w="0" w:type="dxa"/>
            <w:left w:w="0" w:type="dxa"/>
            <w:bottom w:w="0" w:type="dxa"/>
            <w:right w:w="0" w:type="dxa"/>
          </w:tblCellMar>
        </w:tblPrEx>
        <w:trPr>
          <w:trHeight w:val="357"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default" w:ascii="仿宋_GB2312" w:hAnsi="宋体" w:eastAsia="仿宋_GB2312" w:cs="仿宋_GB2312"/>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20" w:lineRule="atLeast"/>
              <w:jc w:val="center"/>
              <w:rPr>
                <w:rFonts w:hint="default" w:ascii="仿宋_GB2312" w:hAnsi="宋体" w:eastAsia="仿宋_GB2312" w:cs="仿宋_GB2312"/>
                <w:i w:val="0"/>
                <w:color w:val="000000"/>
                <w:sz w:val="21"/>
                <w:szCs w:val="21"/>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经营（驻在）期限的检查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企业、个体工商户、农民专业合作社、外国企业常驻代表机构</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现场检查</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default" w:ascii="仿宋_GB2312" w:hAnsi="宋体" w:eastAsia="仿宋_GB2312" w:cs="仿宋_GB2312"/>
                <w:i w:val="0"/>
                <w:color w:val="000000"/>
                <w:sz w:val="21"/>
                <w:szCs w:val="21"/>
                <w:u w:val="none"/>
              </w:rPr>
            </w:pPr>
          </w:p>
        </w:tc>
        <w:tc>
          <w:tcPr>
            <w:tcW w:w="7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 xml:space="preserve">《企业法人登记管理条例》第二十九条第一款 </w:t>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 xml:space="preserve">《公司法》第二百一十一条第二款 </w:t>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 xml:space="preserve">《公司登记管理条例》第六十八条 </w:t>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 xml:space="preserve">《合伙企业法》第九十五条第二款 </w:t>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 xml:space="preserve">《合伙企业登记管理办法》第三十九条 </w:t>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 xml:space="preserve">《外商投资合伙企业登记管理规定》第五十三条 </w:t>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《外国企业常驻代表机构登记管理条例》第十六条、第三十五条第二款、第三十八条</w:t>
            </w:r>
          </w:p>
        </w:tc>
      </w:tr>
      <w:tr>
        <w:tblPrEx>
          <w:tblCellMar>
            <w:top w:w="0" w:type="dxa"/>
            <w:left w:w="0" w:type="dxa"/>
            <w:bottom w:w="0" w:type="dxa"/>
            <w:right w:w="0" w:type="dxa"/>
          </w:tblCellMar>
        </w:tblPrEx>
        <w:trPr>
          <w:trHeight w:val="312" w:hRule="atLeast"/>
        </w:trPr>
        <w:tc>
          <w:tcPr>
            <w:tcW w:w="3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80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登记事项检查</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经营（业务）范围中无需审批的经营（业务）项目的检查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企业、个体工商户、农民专业合作社、外国企业常驻代表机构</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现场检查</w:t>
            </w:r>
          </w:p>
        </w:tc>
        <w:tc>
          <w:tcPr>
            <w:tcW w:w="118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default" w:ascii="仿宋_GB2312" w:hAnsi="宋体" w:eastAsia="仿宋_GB2312" w:cs="仿宋_GB2312"/>
                <w:i w:val="0"/>
                <w:color w:val="000000"/>
                <w:sz w:val="21"/>
                <w:szCs w:val="21"/>
                <w:u w:val="none"/>
                <w:lang w:val="en-US" w:eastAsia="zh-CN"/>
              </w:rPr>
            </w:pPr>
            <w:r>
              <w:rPr>
                <w:rFonts w:hint="eastAsia" w:ascii="仿宋_GB2312" w:hAnsi="宋体" w:eastAsia="仿宋_GB2312" w:cs="仿宋_GB2312"/>
                <w:i w:val="0"/>
                <w:color w:val="000000"/>
                <w:sz w:val="21"/>
                <w:szCs w:val="21"/>
                <w:u w:val="none"/>
                <w:lang w:val="en-US" w:eastAsia="zh-CN"/>
              </w:rPr>
              <w:t>登记注册室</w:t>
            </w:r>
          </w:p>
        </w:tc>
        <w:tc>
          <w:tcPr>
            <w:tcW w:w="72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 xml:space="preserve">《企业法人登记管理条例》第二十九条第一款 </w:t>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 xml:space="preserve">《公司法》第二百一十一条第二款 </w:t>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 xml:space="preserve">《公司登记管理条例》第六十八条 </w:t>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 xml:space="preserve">《合伙企业法》第九十五条第二款 </w:t>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 xml:space="preserve">《个人独资企业法》第三十七条第二款 </w:t>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 xml:space="preserve">《合伙企业登记管理办法》第三十九条 </w:t>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 xml:space="preserve">《外商投资合伙企业登记管理规定》第五十三条 </w:t>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 xml:space="preserve">《个人独资企业登记管理办法》第三十八条 </w:t>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《个体工商户条例》第二十三条第一款</w:t>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 xml:space="preserve">《农民专业合作社登记管理条例》第二十七条、第二十八条 </w:t>
            </w:r>
            <w:r>
              <w:rPr>
                <w:rFonts w:hint="default" w:ascii="仿宋_GB2312" w:hAnsi="宋体" w:eastAsia="仿宋_GB2312" w:cs="仿宋_GB2312"/>
                <w:i w:val="0"/>
                <w:color w:val="000000"/>
                <w:kern w:val="0"/>
                <w:sz w:val="21"/>
                <w:szCs w:val="21"/>
                <w:u w:val="none"/>
                <w:lang w:val="en-US" w:eastAsia="zh-CN" w:bidi="ar"/>
              </w:rPr>
              <w:br w:type="textWrapping"/>
            </w:r>
            <w:r>
              <w:rPr>
                <w:rFonts w:hint="default" w:ascii="仿宋_GB2312" w:hAnsi="宋体" w:eastAsia="仿宋_GB2312" w:cs="仿宋_GB2312"/>
                <w:i w:val="0"/>
                <w:color w:val="000000"/>
                <w:kern w:val="0"/>
                <w:sz w:val="21"/>
                <w:szCs w:val="21"/>
                <w:u w:val="none"/>
                <w:lang w:val="en-US" w:eastAsia="zh-CN" w:bidi="ar"/>
              </w:rPr>
              <w:t>《外国企业常驻代表机构登记管理条例》第三十五条第二款、第三十七条、第三十八条</w:t>
            </w:r>
          </w:p>
        </w:tc>
      </w:tr>
      <w:tr>
        <w:tblPrEx>
          <w:tblCellMar>
            <w:top w:w="0" w:type="dxa"/>
            <w:left w:w="0" w:type="dxa"/>
            <w:bottom w:w="0" w:type="dxa"/>
            <w:right w:w="0" w:type="dxa"/>
          </w:tblCellMar>
        </w:tblPrEx>
        <w:trPr>
          <w:trHeight w:val="1245"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default" w:ascii="仿宋_GB2312" w:hAnsi="宋体" w:eastAsia="仿宋_GB2312" w:cs="仿宋_GB2312"/>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default" w:ascii="仿宋_GB2312" w:hAnsi="宋体" w:eastAsia="仿宋_GB2312" w:cs="仿宋_GB2312"/>
                <w:i w:val="0"/>
                <w:color w:val="000000"/>
                <w:sz w:val="21"/>
                <w:szCs w:val="21"/>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住所（经营场所）或驻在场所的检查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企业、个体工商户、农民专业合作社、外国企业常驻代表机构</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现场检查</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default" w:ascii="仿宋_GB2312" w:hAnsi="宋体" w:eastAsia="仿宋_GB2312" w:cs="仿宋_GB2312"/>
                <w:i w:val="0"/>
                <w:color w:val="000000"/>
                <w:sz w:val="21"/>
                <w:szCs w:val="21"/>
                <w:u w:val="none"/>
              </w:rPr>
            </w:pPr>
          </w:p>
        </w:tc>
        <w:tc>
          <w:tcPr>
            <w:tcW w:w="72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default" w:ascii="仿宋_GB2312" w:hAnsi="宋体" w:eastAsia="仿宋_GB2312" w:cs="仿宋_GB2312"/>
                <w:i w:val="0"/>
                <w:color w:val="000000"/>
                <w:sz w:val="21"/>
                <w:szCs w:val="21"/>
                <w:u w:val="none"/>
              </w:rPr>
            </w:pPr>
          </w:p>
        </w:tc>
      </w:tr>
      <w:tr>
        <w:tblPrEx>
          <w:tblCellMar>
            <w:top w:w="0" w:type="dxa"/>
            <w:left w:w="0" w:type="dxa"/>
            <w:bottom w:w="0" w:type="dxa"/>
            <w:right w:w="0" w:type="dxa"/>
          </w:tblCellMar>
        </w:tblPrEx>
        <w:trPr>
          <w:trHeight w:val="345"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注册资本实缴情况的检查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《国务院关于印发注册资本登记制度改革方案的通知》明确的暂不实行注册资本认缴登记制的行业企业</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《企业法人登记管理条例》第二十九条第一款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 xml:space="preserve">《公司法》第一百九十八条至第二百条、第二百一十一条第二款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 xml:space="preserve">《公司登记管理条例》第六十三条、第六十五条、第六十六条、第六十八条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 xml:space="preserve">《合伙企业法》第九十五条第二款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 xml:space="preserve">《个人独资企业法》第三十七条第二款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 xml:space="preserve">《合伙企业登记管理办法》第三十九条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 xml:space="preserve">《外商投资合伙企业登记管理规定》第五十三条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《个人独资企业登记管理办法》第三十八条</w:t>
            </w:r>
          </w:p>
        </w:tc>
      </w:tr>
      <w:tr>
        <w:tblPrEx>
          <w:tblCellMar>
            <w:top w:w="0" w:type="dxa"/>
            <w:left w:w="0" w:type="dxa"/>
            <w:bottom w:w="0" w:type="dxa"/>
            <w:right w:w="0" w:type="dxa"/>
          </w:tblCellMar>
        </w:tblPrEx>
        <w:trPr>
          <w:trHeight w:val="312"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法定代表人（负责人）任职情况的检查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企业</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《企业法人登记管理条例》第二十九条第一款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 xml:space="preserve">《企业法人法定代表人登记管理规定》第十二条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 xml:space="preserve">《公司法》第二百一十一条第二款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 xml:space="preserve">《公司登记管理条例》第六十八条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 xml:space="preserve">《合伙企业法》第九十五条第二款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 xml:space="preserve">《合伙企业登记管理办法》第三十九条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 xml:space="preserve">《外商投资合伙企业登记管理规定》第五十三条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 xml:space="preserve">《个人独资企业法》第三十七条第二款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《个人独资企业登记管理办法》第三十八条</w:t>
            </w:r>
          </w:p>
        </w:tc>
      </w:tr>
      <w:tr>
        <w:tblPrEx>
          <w:tblCellMar>
            <w:top w:w="0" w:type="dxa"/>
            <w:left w:w="0" w:type="dxa"/>
            <w:bottom w:w="0" w:type="dxa"/>
            <w:right w:w="0" w:type="dxa"/>
          </w:tblCellMar>
        </w:tblPrEx>
        <w:trPr>
          <w:trHeight w:val="312"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法定代表人、自然人股东身份真实性的检查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企业</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《公司法》第一百九十八条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 xml:space="preserve">《合伙企业法》第九十三条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《个人独资企业法》第三十三条</w:t>
            </w:r>
          </w:p>
        </w:tc>
      </w:tr>
      <w:tr>
        <w:tblPrEx>
          <w:tblCellMar>
            <w:top w:w="0" w:type="dxa"/>
            <w:left w:w="0" w:type="dxa"/>
            <w:bottom w:w="0" w:type="dxa"/>
            <w:right w:w="0" w:type="dxa"/>
          </w:tblCellMar>
        </w:tblPrEx>
        <w:trPr>
          <w:trHeight w:val="315" w:hRule="atLeast"/>
        </w:trPr>
        <w:tc>
          <w:tcPr>
            <w:tcW w:w="3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序号</w:t>
            </w:r>
          </w:p>
        </w:tc>
        <w:tc>
          <w:tcPr>
            <w:tcW w:w="239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抽查项目</w:t>
            </w:r>
          </w:p>
        </w:tc>
        <w:tc>
          <w:tcPr>
            <w:tcW w:w="180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检查对象</w:t>
            </w:r>
          </w:p>
        </w:tc>
        <w:tc>
          <w:tcPr>
            <w:tcW w:w="8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事项类别</w:t>
            </w:r>
          </w:p>
        </w:tc>
        <w:tc>
          <w:tcPr>
            <w:tcW w:w="116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检查方式</w:t>
            </w:r>
          </w:p>
        </w:tc>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检查主体</w:t>
            </w:r>
          </w:p>
        </w:tc>
        <w:tc>
          <w:tcPr>
            <w:tcW w:w="72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检查依据</w:t>
            </w:r>
          </w:p>
        </w:tc>
      </w:tr>
      <w:tr>
        <w:tblPrEx>
          <w:tblCellMar>
            <w:top w:w="0" w:type="dxa"/>
            <w:left w:w="0" w:type="dxa"/>
            <w:bottom w:w="0" w:type="dxa"/>
            <w:right w:w="0" w:type="dxa"/>
          </w:tblCellMar>
        </w:tblPrEx>
        <w:trPr>
          <w:trHeight w:val="297"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抽查类别</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抽查事项</w:t>
            </w:r>
          </w:p>
        </w:tc>
        <w:tc>
          <w:tcPr>
            <w:tcW w:w="18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11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72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312" w:hRule="atLeast"/>
        </w:trPr>
        <w:tc>
          <w:tcPr>
            <w:tcW w:w="3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w:t>
            </w:r>
          </w:p>
        </w:tc>
        <w:tc>
          <w:tcPr>
            <w:tcW w:w="80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公示信息检查</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年度报告公示信息的检查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企业、个体工商户、农民专业合作社</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现场检查、书面检查、网络检查、专业机构核查</w:t>
            </w:r>
          </w:p>
        </w:tc>
        <w:tc>
          <w:tcPr>
            <w:tcW w:w="118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登记注册室</w:t>
            </w:r>
          </w:p>
        </w:tc>
        <w:tc>
          <w:tcPr>
            <w:tcW w:w="7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《企业信息公示暂行条例》第三条、第八条、第九条、第十一条、第十二条、第十五条、第十七条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 xml:space="preserve">《企业公示信息抽查暂行办法》第十条、第十二条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 xml:space="preserve">《企业经营异常名录管理暂行办法》第四条、第六条、第八条、第九条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 xml:space="preserve">《个体工商户年度报告暂行办法》第六条、第十一条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《农民专业合作社年度报告公示暂行办法》第五条、第八条</w:t>
            </w:r>
          </w:p>
        </w:tc>
      </w:tr>
      <w:tr>
        <w:tblPrEx>
          <w:tblCellMar>
            <w:top w:w="0" w:type="dxa"/>
            <w:left w:w="0" w:type="dxa"/>
            <w:bottom w:w="0" w:type="dxa"/>
            <w:right w:w="0" w:type="dxa"/>
          </w:tblCellMar>
        </w:tblPrEx>
        <w:trPr>
          <w:trHeight w:val="312"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即时公示信息的检查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企业</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现场检查、书面检查、网络检查、专业机构核查</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《企业信息公示暂行条例》第三条、第十条、第十一条、第十二条、第十五条、第十七条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 xml:space="preserve">《企业公示信息抽查暂行办法》第十条、第十二条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《企业经营异常名录管理暂行办法》第四条、第七条、第八条、第九条</w:t>
            </w:r>
          </w:p>
        </w:tc>
      </w:tr>
      <w:tr>
        <w:tblPrEx>
          <w:tblCellMar>
            <w:top w:w="0" w:type="dxa"/>
            <w:left w:w="0" w:type="dxa"/>
            <w:bottom w:w="0" w:type="dxa"/>
            <w:right w:w="0" w:type="dxa"/>
          </w:tblCellMar>
        </w:tblPrEx>
        <w:trPr>
          <w:trHeight w:val="1640" w:hRule="atLeast"/>
        </w:trPr>
        <w:tc>
          <w:tcPr>
            <w:tcW w:w="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3</w:t>
            </w: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价格行为检查</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执行政府定价、政府指导价情况，明码标价情况及其他价格行为的检查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《价格法》规定的经营者</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现场检查等</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价格室</w:t>
            </w:r>
          </w:p>
        </w:tc>
        <w:tc>
          <w:tcPr>
            <w:tcW w:w="7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《价格法》《宁夏回族自治区价格条例》</w:t>
            </w:r>
          </w:p>
        </w:tc>
      </w:tr>
      <w:tr>
        <w:tblPrEx>
          <w:tblCellMar>
            <w:top w:w="0" w:type="dxa"/>
            <w:left w:w="0" w:type="dxa"/>
            <w:bottom w:w="0" w:type="dxa"/>
            <w:right w:w="0" w:type="dxa"/>
          </w:tblCellMar>
        </w:tblPrEx>
        <w:trPr>
          <w:trHeight w:val="672" w:hRule="atLeast"/>
        </w:trPr>
        <w:tc>
          <w:tcPr>
            <w:tcW w:w="3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4</w:t>
            </w:r>
          </w:p>
        </w:tc>
        <w:tc>
          <w:tcPr>
            <w:tcW w:w="80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直销行为检查</w:t>
            </w:r>
          </w:p>
        </w:tc>
        <w:tc>
          <w:tcPr>
            <w:tcW w:w="15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重大变更、直销员报酬支付、信息报备和披露的情况的检查</w:t>
            </w:r>
          </w:p>
        </w:tc>
        <w:tc>
          <w:tcPr>
            <w:tcW w:w="180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直销企业总公司</w:t>
            </w:r>
          </w:p>
        </w:tc>
        <w:tc>
          <w:tcPr>
            <w:tcW w:w="8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现场检查、书面检查、网络检查等</w:t>
            </w:r>
          </w:p>
        </w:tc>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执法稽查队</w:t>
            </w:r>
          </w:p>
        </w:tc>
        <w:tc>
          <w:tcPr>
            <w:tcW w:w="72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《直销管理条例》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《直销企业信息报备、披露管理办法》</w:t>
            </w:r>
          </w:p>
        </w:tc>
      </w:tr>
      <w:tr>
        <w:tblPrEx>
          <w:tblCellMar>
            <w:top w:w="0" w:type="dxa"/>
            <w:left w:w="0" w:type="dxa"/>
            <w:bottom w:w="0" w:type="dxa"/>
            <w:right w:w="0" w:type="dxa"/>
          </w:tblCellMar>
        </w:tblPrEx>
        <w:trPr>
          <w:trHeight w:val="545"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5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8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1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72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1115" w:hRule="atLeast"/>
        </w:trPr>
        <w:tc>
          <w:tcPr>
            <w:tcW w:w="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5</w:t>
            </w: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电子商务经营行为监督检查</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电子商务平台经营者履行主体责任的检查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电子商务平台经营者</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书面检查、网络检查、专业机构核查</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市管室</w:t>
            </w:r>
          </w:p>
        </w:tc>
        <w:tc>
          <w:tcPr>
            <w:tcW w:w="7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《电子商务法》第二十七条、第三十一条、第三十二条、第三十三条、第三十四条、第三十六条、第三十七条、第三十九条、第四十条</w:t>
            </w:r>
          </w:p>
        </w:tc>
      </w:tr>
      <w:tr>
        <w:tblPrEx>
          <w:tblCellMar>
            <w:top w:w="0" w:type="dxa"/>
            <w:left w:w="0" w:type="dxa"/>
            <w:bottom w:w="0" w:type="dxa"/>
            <w:right w:w="0" w:type="dxa"/>
          </w:tblCellMar>
        </w:tblPrEx>
        <w:trPr>
          <w:trHeight w:val="375" w:hRule="atLeast"/>
        </w:trPr>
        <w:tc>
          <w:tcPr>
            <w:tcW w:w="3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6</w:t>
            </w:r>
          </w:p>
        </w:tc>
        <w:tc>
          <w:tcPr>
            <w:tcW w:w="80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广告行为检查</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广告发布登记情况的检查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企业、个体工商户及其它经营单位</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w:t>
            </w:r>
          </w:p>
        </w:tc>
        <w:tc>
          <w:tcPr>
            <w:tcW w:w="118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市管室</w:t>
            </w:r>
          </w:p>
        </w:tc>
        <w:tc>
          <w:tcPr>
            <w:tcW w:w="7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《广告法》第六条、第二十九条、第六十条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《广告发布登记管理规定》</w:t>
            </w:r>
          </w:p>
        </w:tc>
      </w:tr>
      <w:tr>
        <w:tblPrEx>
          <w:tblCellMar>
            <w:top w:w="0" w:type="dxa"/>
            <w:left w:w="0" w:type="dxa"/>
            <w:bottom w:w="0" w:type="dxa"/>
            <w:right w:w="0" w:type="dxa"/>
          </w:tblCellMar>
        </w:tblPrEx>
        <w:trPr>
          <w:trHeight w:val="1440"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药品、医疗器械、保健食品、特殊医学用途配方食品广告主发布相关广告的审查批准情况的检查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企业、个体工商户及其它经营单位</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《广告法》第四十六条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《食品安全法》第七十九条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《药品管理法》第五十九条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《医疗器械监督管理条例》第四十五条</w:t>
            </w:r>
          </w:p>
        </w:tc>
      </w:tr>
      <w:tr>
        <w:tblPrEx>
          <w:tblCellMar>
            <w:top w:w="0" w:type="dxa"/>
            <w:left w:w="0" w:type="dxa"/>
            <w:bottom w:w="0" w:type="dxa"/>
            <w:right w:w="0" w:type="dxa"/>
          </w:tblCellMar>
        </w:tblPrEx>
        <w:trPr>
          <w:trHeight w:val="1710"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广告经营者、广告发布者建立、健全广告业务的承接登记、审核、档案管理制度情况的检查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企业、个体工商户及其它经营单位</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w:t>
            </w:r>
          </w:p>
        </w:tc>
        <w:tc>
          <w:tcPr>
            <w:tcW w:w="118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《广告法》第三十四条、第六十一条</w:t>
            </w:r>
          </w:p>
        </w:tc>
      </w:tr>
      <w:tr>
        <w:tblPrEx>
          <w:tblCellMar>
            <w:top w:w="0" w:type="dxa"/>
            <w:left w:w="0" w:type="dxa"/>
            <w:bottom w:w="0" w:type="dxa"/>
            <w:right w:w="0" w:type="dxa"/>
          </w:tblCellMar>
        </w:tblPrEx>
        <w:trPr>
          <w:trHeight w:val="364" w:hRule="atLeast"/>
        </w:trPr>
        <w:tc>
          <w:tcPr>
            <w:tcW w:w="3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8</w:t>
            </w:r>
          </w:p>
        </w:tc>
        <w:tc>
          <w:tcPr>
            <w:tcW w:w="80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产品质量监督抽查</w:t>
            </w:r>
          </w:p>
        </w:tc>
        <w:tc>
          <w:tcPr>
            <w:tcW w:w="15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生产领域产品质量监督抽查</w:t>
            </w:r>
          </w:p>
        </w:tc>
        <w:tc>
          <w:tcPr>
            <w:tcW w:w="180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市场上或企业成品仓库内的待销产品</w:t>
            </w:r>
          </w:p>
        </w:tc>
        <w:tc>
          <w:tcPr>
            <w:tcW w:w="8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重点检查事项</w:t>
            </w:r>
          </w:p>
        </w:tc>
        <w:tc>
          <w:tcPr>
            <w:tcW w:w="116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抽样检测</w:t>
            </w:r>
          </w:p>
        </w:tc>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执法稽查队</w:t>
            </w:r>
          </w:p>
        </w:tc>
        <w:tc>
          <w:tcPr>
            <w:tcW w:w="72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《产品质量法》第十五条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《产品质量监督抽查管理办法》第二条、第六条、第十二条、第十七条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《食品安全法》第一百一十条</w:t>
            </w:r>
          </w:p>
        </w:tc>
      </w:tr>
      <w:tr>
        <w:tblPrEx>
          <w:tblCellMar>
            <w:top w:w="0" w:type="dxa"/>
            <w:left w:w="0" w:type="dxa"/>
            <w:bottom w:w="0" w:type="dxa"/>
            <w:right w:w="0" w:type="dxa"/>
          </w:tblCellMar>
        </w:tblPrEx>
        <w:trPr>
          <w:trHeight w:val="605"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5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8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1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72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845"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食品相关产品质量安全监督检查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食品相关产品获证企业</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重点检查事项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食品室</w:t>
            </w:r>
          </w:p>
        </w:tc>
        <w:tc>
          <w:tcPr>
            <w:tcW w:w="7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《食品安全法》第一百一十条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《产品质量法》第十五条</w:t>
            </w:r>
          </w:p>
        </w:tc>
      </w:tr>
      <w:tr>
        <w:tblPrEx>
          <w:tblCellMar>
            <w:top w:w="0" w:type="dxa"/>
            <w:left w:w="0" w:type="dxa"/>
            <w:bottom w:w="0" w:type="dxa"/>
            <w:right w:w="0" w:type="dxa"/>
          </w:tblCellMar>
        </w:tblPrEx>
        <w:trPr>
          <w:trHeight w:val="1185" w:hRule="atLeast"/>
        </w:trPr>
        <w:tc>
          <w:tcPr>
            <w:tcW w:w="3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9</w:t>
            </w:r>
          </w:p>
        </w:tc>
        <w:tc>
          <w:tcPr>
            <w:tcW w:w="80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工业产品生产许可证产品生产企业检查</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工业产品生产许可资格检查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企业、个体工商户</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w:t>
            </w:r>
          </w:p>
        </w:tc>
        <w:tc>
          <w:tcPr>
            <w:tcW w:w="118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食品室</w:t>
            </w:r>
          </w:p>
        </w:tc>
        <w:tc>
          <w:tcPr>
            <w:tcW w:w="72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《工业产品生产许可证管理条例》第三十六条、三十八条、三十九条</w:t>
            </w:r>
          </w:p>
        </w:tc>
      </w:tr>
      <w:tr>
        <w:tblPrEx>
          <w:tblCellMar>
            <w:top w:w="0" w:type="dxa"/>
            <w:left w:w="0" w:type="dxa"/>
            <w:bottom w:w="0" w:type="dxa"/>
            <w:right w:w="0" w:type="dxa"/>
          </w:tblCellMar>
        </w:tblPrEx>
        <w:trPr>
          <w:trHeight w:val="1075"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工业产品生产许可证获证企业条件检查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企业、个体工商户</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重点检查事项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312" w:hRule="atLeast"/>
        </w:trPr>
        <w:tc>
          <w:tcPr>
            <w:tcW w:w="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10</w:t>
            </w: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食品生产监督检查</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食品生产监督检查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获证食品生产企业</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重点检查事项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《食品安全法》第一百一十条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《食品生产经营日常监督检查管理办法》</w:t>
            </w:r>
          </w:p>
        </w:tc>
      </w:tr>
      <w:tr>
        <w:tblPrEx>
          <w:tblCellMar>
            <w:top w:w="0" w:type="dxa"/>
            <w:left w:w="0" w:type="dxa"/>
            <w:bottom w:w="0" w:type="dxa"/>
            <w:right w:w="0" w:type="dxa"/>
          </w:tblCellMar>
        </w:tblPrEx>
        <w:trPr>
          <w:trHeight w:val="1065" w:hRule="atLeast"/>
        </w:trPr>
        <w:tc>
          <w:tcPr>
            <w:tcW w:w="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11</w:t>
            </w: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食品小餐饮检查</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食品小餐饮监督检查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食品小餐饮店经营者</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现场检查、书面检查</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餐饮室</w:t>
            </w:r>
          </w:p>
        </w:tc>
        <w:tc>
          <w:tcPr>
            <w:tcW w:w="720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《宁夏回族自治区食品生产加工小作坊小经营店和食品小摊点管理条例》第二十五条</w:t>
            </w:r>
          </w:p>
        </w:tc>
      </w:tr>
      <w:tr>
        <w:tblPrEx>
          <w:tblCellMar>
            <w:top w:w="0" w:type="dxa"/>
            <w:left w:w="0" w:type="dxa"/>
            <w:bottom w:w="0" w:type="dxa"/>
            <w:right w:w="0" w:type="dxa"/>
          </w:tblCellMar>
        </w:tblPrEx>
        <w:trPr>
          <w:trHeight w:val="480" w:hRule="atLeast"/>
        </w:trPr>
        <w:tc>
          <w:tcPr>
            <w:tcW w:w="3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12</w:t>
            </w:r>
          </w:p>
        </w:tc>
        <w:tc>
          <w:tcPr>
            <w:tcW w:w="80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食品销售监督检查</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校园食品销售监督检查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校园及校园周边食品销售者</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重点检查事项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w:t>
            </w:r>
          </w:p>
        </w:tc>
        <w:tc>
          <w:tcPr>
            <w:tcW w:w="118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食品室</w:t>
            </w:r>
          </w:p>
        </w:tc>
        <w:tc>
          <w:tcPr>
            <w:tcW w:w="72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《食品安全法》 第一百一十条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《食品生产经营日常监督检查管理办法》</w:t>
            </w:r>
          </w:p>
        </w:tc>
      </w:tr>
      <w:tr>
        <w:tblPrEx>
          <w:tblCellMar>
            <w:top w:w="0" w:type="dxa"/>
            <w:left w:w="0" w:type="dxa"/>
            <w:bottom w:w="0" w:type="dxa"/>
            <w:right w:w="0" w:type="dxa"/>
          </w:tblCellMar>
        </w:tblPrEx>
        <w:trPr>
          <w:trHeight w:val="357"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高风险食品销售监督检查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风险等级为B、C、D级的食品销售者</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重点检查事项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630"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一般风险食品销售监督检查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风险等级为A级的食品销售者</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615"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网络食品销售监督检查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网络食品交易第三方平台、入网食品销售者</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现场检查、书面检查、网络检查</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720" w:hRule="atLeast"/>
        </w:trPr>
        <w:tc>
          <w:tcPr>
            <w:tcW w:w="3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80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餐饮服务监督检查</w:t>
            </w:r>
          </w:p>
        </w:tc>
        <w:tc>
          <w:tcPr>
            <w:tcW w:w="15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食品经营许可情况的检查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餐饮服务经营者</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现场检查、书面检查</w:t>
            </w:r>
          </w:p>
        </w:tc>
        <w:tc>
          <w:tcPr>
            <w:tcW w:w="118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餐饮室</w:t>
            </w:r>
          </w:p>
        </w:tc>
        <w:tc>
          <w:tcPr>
            <w:tcW w:w="72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《食品安全法》第一百一十条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《食品生产经营日常监督检查管理办法》</w:t>
            </w:r>
          </w:p>
        </w:tc>
      </w:tr>
      <w:tr>
        <w:tblPrEx>
          <w:tblCellMar>
            <w:top w:w="0" w:type="dxa"/>
            <w:left w:w="0" w:type="dxa"/>
            <w:bottom w:w="0" w:type="dxa"/>
            <w:right w:w="0" w:type="dxa"/>
          </w:tblCellMar>
        </w:tblPrEx>
        <w:trPr>
          <w:trHeight w:val="790"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15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学校、托幼机构、养老机构等食堂</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重点检查事项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现场检查、书面检查</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685"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15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原料控制（含食品添加剂）情况的检查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餐饮服务经营者</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现场检查、书面检查</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715"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15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学校、托幼机构、养老机构等食堂</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重点检查事项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现场检查、书面检查</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700"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15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加工制作过程的检查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餐饮服务经营者</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现场检查、书面检查</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695"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15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学校、托幼机构、养老机构等食堂</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重点检查事项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现场检查、书面检查</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745"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15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供餐、用餐与配送情况的检查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餐饮服务经营者</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现场检查、书面检查</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720"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15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学校、托幼机构、养老机构等食堂</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重点检查事项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现场检查、书面检查</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695"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15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餐饮具清洗消毒情况的检查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餐饮服务经营者</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现场检查、书面检查</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765"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15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学校、托幼机构、养老机构等食堂</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重点检查事项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现场检查、书面检查</w:t>
            </w:r>
          </w:p>
        </w:tc>
        <w:tc>
          <w:tcPr>
            <w:tcW w:w="118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705" w:hRule="atLeast"/>
        </w:trPr>
        <w:tc>
          <w:tcPr>
            <w:tcW w:w="3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13</w:t>
            </w:r>
          </w:p>
        </w:tc>
        <w:tc>
          <w:tcPr>
            <w:tcW w:w="80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餐饮服务监督检查</w:t>
            </w:r>
          </w:p>
        </w:tc>
        <w:tc>
          <w:tcPr>
            <w:tcW w:w="15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场所和设施清洁维护情况的检查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餐饮服务经营者</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现场检查、书面检查</w:t>
            </w:r>
          </w:p>
        </w:tc>
        <w:tc>
          <w:tcPr>
            <w:tcW w:w="118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餐饮室</w:t>
            </w:r>
          </w:p>
        </w:tc>
        <w:tc>
          <w:tcPr>
            <w:tcW w:w="72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《食品安全法》第一百一十条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《食品生产经营日常监督检查管理办法》</w:t>
            </w:r>
          </w:p>
        </w:tc>
      </w:tr>
      <w:tr>
        <w:tblPrEx>
          <w:tblCellMar>
            <w:top w:w="0" w:type="dxa"/>
            <w:left w:w="0" w:type="dxa"/>
            <w:bottom w:w="0" w:type="dxa"/>
            <w:right w:w="0" w:type="dxa"/>
          </w:tblCellMar>
        </w:tblPrEx>
        <w:trPr>
          <w:trHeight w:val="775"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15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学校、托幼机构、养老机构等食堂</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重点检查事项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现场检查、书面检查</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745"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15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食品安全管理情况的检查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餐饮服务经营者</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现场检查、书面检查</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755"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15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学校、托幼机构、养老机构等食堂</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重点检查事项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现场检查、书面检查</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640"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15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人员管理情况的检查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餐饮服务经营者</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现场检查、书面检查</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700"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15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学校、托幼机构、养老机构等食堂</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重点检查事项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现场检查、书面检查</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1050"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网络餐饮服务情况的检查</w:t>
            </w:r>
          </w:p>
        </w:tc>
        <w:tc>
          <w:tcPr>
            <w:tcW w:w="180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入网餐饮服务提供者、网络餐饮服务第三方平台</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网络检查、现场检查、书面检查</w:t>
            </w:r>
          </w:p>
        </w:tc>
        <w:tc>
          <w:tcPr>
            <w:tcW w:w="118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《食品安全法》第一百一十条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《网络餐饮服务食品安全监督管理办法》</w:t>
            </w:r>
          </w:p>
        </w:tc>
      </w:tr>
      <w:tr>
        <w:tblPrEx>
          <w:tblCellMar>
            <w:top w:w="0" w:type="dxa"/>
            <w:left w:w="0" w:type="dxa"/>
            <w:bottom w:w="0" w:type="dxa"/>
            <w:right w:w="0" w:type="dxa"/>
          </w:tblCellMar>
        </w:tblPrEx>
        <w:trPr>
          <w:trHeight w:val="1200" w:hRule="atLeast"/>
        </w:trPr>
        <w:tc>
          <w:tcPr>
            <w:tcW w:w="3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14</w:t>
            </w:r>
          </w:p>
        </w:tc>
        <w:tc>
          <w:tcPr>
            <w:tcW w:w="80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食用农产品市场销售质量安全检查</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食用农产品集中交易市场监督检查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食用农产品集中交易市场（含批发市场和农贸市场）</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重点检查事项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现场检查、抽样检测</w:t>
            </w:r>
          </w:p>
        </w:tc>
        <w:tc>
          <w:tcPr>
            <w:tcW w:w="118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食品室</w:t>
            </w:r>
          </w:p>
        </w:tc>
        <w:tc>
          <w:tcPr>
            <w:tcW w:w="72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《食品安全法》第一百一十条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《食用农产品市场销售质量安全监督管理办法》</w:t>
            </w:r>
          </w:p>
        </w:tc>
      </w:tr>
      <w:tr>
        <w:tblPrEx>
          <w:tblCellMar>
            <w:top w:w="0" w:type="dxa"/>
            <w:left w:w="0" w:type="dxa"/>
            <w:bottom w:w="0" w:type="dxa"/>
            <w:right w:w="0" w:type="dxa"/>
          </w:tblCellMar>
        </w:tblPrEx>
        <w:trPr>
          <w:trHeight w:val="1350"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食用农产品销售企业（者）监督检查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食用农产品销售企业（含批发企业和零售企业）、其他销售者</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重点检查事项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现场检查、抽样检测</w:t>
            </w:r>
          </w:p>
        </w:tc>
        <w:tc>
          <w:tcPr>
            <w:tcW w:w="118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735" w:hRule="atLeast"/>
        </w:trPr>
        <w:tc>
          <w:tcPr>
            <w:tcW w:w="3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15</w:t>
            </w:r>
          </w:p>
        </w:tc>
        <w:tc>
          <w:tcPr>
            <w:tcW w:w="80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特殊食品销售监督检查</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婴幼儿配方食品销售监督检查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婴幼儿配方食品销售者</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现场检查、书面检查</w:t>
            </w:r>
          </w:p>
        </w:tc>
        <w:tc>
          <w:tcPr>
            <w:tcW w:w="118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食品室</w:t>
            </w:r>
          </w:p>
        </w:tc>
        <w:tc>
          <w:tcPr>
            <w:tcW w:w="7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《食品安全法》第一百零九条、第一百一十条、第一百一十三条、第一百一十四条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《乳品质量安全监督管理条例》第四十六条、第四十八条、第五十条等</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《食品生产经营日常监督检查管理办法》第九条</w:t>
            </w:r>
          </w:p>
        </w:tc>
      </w:tr>
      <w:tr>
        <w:tblPrEx>
          <w:tblCellMar>
            <w:top w:w="0" w:type="dxa"/>
            <w:left w:w="0" w:type="dxa"/>
            <w:bottom w:w="0" w:type="dxa"/>
            <w:right w:w="0" w:type="dxa"/>
          </w:tblCellMar>
        </w:tblPrEx>
        <w:trPr>
          <w:trHeight w:val="312"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特殊医学用途配方食品销售监督检查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特殊医学用途配方食品销售者</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现场检查、书面检查</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《食品安全法》第一百零九条、第一百一十条、第一百一十三条、第一百一十四条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《食品生产经营日常监督检查管理办法》第九条</w:t>
            </w:r>
          </w:p>
        </w:tc>
      </w:tr>
      <w:tr>
        <w:tblPrEx>
          <w:tblCellMar>
            <w:top w:w="0" w:type="dxa"/>
            <w:left w:w="0" w:type="dxa"/>
            <w:bottom w:w="0" w:type="dxa"/>
            <w:right w:w="0" w:type="dxa"/>
          </w:tblCellMar>
        </w:tblPrEx>
        <w:trPr>
          <w:trHeight w:val="990"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保健食品销售监督检查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保健食品销售者</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现场检查、书面检查</w:t>
            </w:r>
          </w:p>
        </w:tc>
        <w:tc>
          <w:tcPr>
            <w:tcW w:w="118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《食品安全法》第一百零九条、第一百一十条、第一百一十三条、第一百一十四条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《食品生产经营日常监督检查管理办法》第九条</w:t>
            </w:r>
          </w:p>
        </w:tc>
      </w:tr>
      <w:tr>
        <w:tblPrEx>
          <w:tblCellMar>
            <w:top w:w="0" w:type="dxa"/>
            <w:left w:w="0" w:type="dxa"/>
            <w:bottom w:w="0" w:type="dxa"/>
            <w:right w:w="0" w:type="dxa"/>
          </w:tblCellMar>
        </w:tblPrEx>
        <w:trPr>
          <w:trHeight w:val="1080" w:hRule="atLeast"/>
        </w:trPr>
        <w:tc>
          <w:tcPr>
            <w:tcW w:w="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16</w:t>
            </w: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食盐销售监督检查</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食盐质量监督检查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食盐销售者</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重点检查事项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w:t>
            </w:r>
          </w:p>
        </w:tc>
        <w:tc>
          <w:tcPr>
            <w:tcW w:w="118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食品室</w:t>
            </w:r>
          </w:p>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《食盐专营办法》</w:t>
            </w:r>
          </w:p>
        </w:tc>
      </w:tr>
      <w:tr>
        <w:tblPrEx>
          <w:tblCellMar>
            <w:top w:w="0" w:type="dxa"/>
            <w:left w:w="0" w:type="dxa"/>
            <w:bottom w:w="0" w:type="dxa"/>
            <w:right w:w="0" w:type="dxa"/>
          </w:tblCellMar>
        </w:tblPrEx>
        <w:trPr>
          <w:trHeight w:val="510" w:hRule="atLeast"/>
        </w:trPr>
        <w:tc>
          <w:tcPr>
            <w:tcW w:w="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17</w:t>
            </w: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食品安全监督抽检</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食品安全监督抽检</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市场在售食品</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重点检查事项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抽样检验</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《食品安全法》第八十七条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《食品安全抽样检验管理办法》</w:t>
            </w:r>
          </w:p>
        </w:tc>
      </w:tr>
      <w:tr>
        <w:tblPrEx>
          <w:tblCellMar>
            <w:top w:w="0" w:type="dxa"/>
            <w:left w:w="0" w:type="dxa"/>
            <w:bottom w:w="0" w:type="dxa"/>
            <w:right w:w="0" w:type="dxa"/>
          </w:tblCellMar>
        </w:tblPrEx>
        <w:trPr>
          <w:trHeight w:val="750" w:hRule="atLeast"/>
        </w:trPr>
        <w:tc>
          <w:tcPr>
            <w:tcW w:w="3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18</w:t>
            </w:r>
          </w:p>
        </w:tc>
        <w:tc>
          <w:tcPr>
            <w:tcW w:w="80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特种设备使用单位监督检查</w:t>
            </w:r>
          </w:p>
        </w:tc>
        <w:tc>
          <w:tcPr>
            <w:tcW w:w="15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对特种设备使用单位的监督检查</w:t>
            </w:r>
          </w:p>
        </w:tc>
        <w:tc>
          <w:tcPr>
            <w:tcW w:w="180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特种设备使用单位</w:t>
            </w:r>
          </w:p>
        </w:tc>
        <w:tc>
          <w:tcPr>
            <w:tcW w:w="81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重点检查事项</w:t>
            </w:r>
          </w:p>
        </w:tc>
        <w:tc>
          <w:tcPr>
            <w:tcW w:w="116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现场检查、书面检查</w:t>
            </w:r>
          </w:p>
        </w:tc>
        <w:tc>
          <w:tcPr>
            <w:tcW w:w="11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特设室</w:t>
            </w:r>
          </w:p>
        </w:tc>
        <w:tc>
          <w:tcPr>
            <w:tcW w:w="72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《特种设备安全法》第五十七条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《特种设备安全监察条例》第五十条                                   《质检总局关于发布特种设备现场安全监督检查规则的公告》（2015年第5号）</w:t>
            </w:r>
          </w:p>
        </w:tc>
      </w:tr>
      <w:tr>
        <w:tblPrEx>
          <w:tblCellMar>
            <w:top w:w="0" w:type="dxa"/>
            <w:left w:w="0" w:type="dxa"/>
            <w:bottom w:w="0" w:type="dxa"/>
            <w:right w:w="0" w:type="dxa"/>
          </w:tblCellMar>
        </w:tblPrEx>
        <w:trPr>
          <w:trHeight w:val="635"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15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80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81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16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1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72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1425" w:hRule="atLeast"/>
        </w:trPr>
        <w:tc>
          <w:tcPr>
            <w:tcW w:w="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19</w:t>
            </w: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特种设备生产监督检查</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对特种设备生产单位的监督检查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特种设备生产单位</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重点检查事项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现场检查、书面检查</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特设室</w:t>
            </w:r>
          </w:p>
        </w:tc>
        <w:tc>
          <w:tcPr>
            <w:tcW w:w="7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《特种设备安全法》第五十七条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《特种设备安全监察条例》第五十条                                   《质检总局关于发布特种设备现场安全监督检查规则的公告》（2015年第5号）</w:t>
            </w:r>
          </w:p>
        </w:tc>
      </w:tr>
      <w:tr>
        <w:tblPrEx>
          <w:tblCellMar>
            <w:top w:w="0" w:type="dxa"/>
            <w:left w:w="0" w:type="dxa"/>
            <w:bottom w:w="0" w:type="dxa"/>
            <w:right w:w="0" w:type="dxa"/>
          </w:tblCellMar>
        </w:tblPrEx>
        <w:trPr>
          <w:trHeight w:val="312" w:hRule="atLeast"/>
        </w:trPr>
        <w:tc>
          <w:tcPr>
            <w:tcW w:w="3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20</w:t>
            </w:r>
          </w:p>
        </w:tc>
        <w:tc>
          <w:tcPr>
            <w:tcW w:w="80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计量监督检查</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在用计量器具监督检查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企业、事业单位、个体工商户及其他经营者</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重点检查事项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现场检查、抽样检测</w:t>
            </w:r>
          </w:p>
        </w:tc>
        <w:tc>
          <w:tcPr>
            <w:tcW w:w="118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质量室</w:t>
            </w:r>
          </w:p>
        </w:tc>
        <w:tc>
          <w:tcPr>
            <w:tcW w:w="7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《计量法》第十八条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《集贸市场计量监督管理办法》第八条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《加油站计量监督管理办法》第六条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《眼镜制配计量监督管理办法》第七条</w:t>
            </w:r>
          </w:p>
        </w:tc>
      </w:tr>
      <w:tr>
        <w:tblPrEx>
          <w:tblCellMar>
            <w:top w:w="0" w:type="dxa"/>
            <w:left w:w="0" w:type="dxa"/>
            <w:bottom w:w="0" w:type="dxa"/>
            <w:right w:w="0" w:type="dxa"/>
          </w:tblCellMar>
        </w:tblPrEx>
        <w:trPr>
          <w:trHeight w:val="427"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法定计量检定机构专项监督检查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法定计量检定机构</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现场检查、书面检查</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《计量法》第十八条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《计量法实施细则》第二十八条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《法定计量检定机构监督管理办法》第十五、十六条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《专业计量站管理办法》第十四、十八条</w:t>
            </w:r>
          </w:p>
        </w:tc>
      </w:tr>
      <w:tr>
        <w:tblPrEx>
          <w:tblCellMar>
            <w:top w:w="0" w:type="dxa"/>
            <w:left w:w="0" w:type="dxa"/>
            <w:bottom w:w="0" w:type="dxa"/>
            <w:right w:w="0" w:type="dxa"/>
          </w:tblCellMar>
        </w:tblPrEx>
        <w:trPr>
          <w:trHeight w:val="627"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计量单位使用情况专项监督检查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宣传出版、文化教育、市场交易等领域</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重点检查事项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现场检查、书面检查</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《计量法》第十八条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《全面推行我国法定计量单位的意见》</w:t>
            </w:r>
          </w:p>
        </w:tc>
      </w:tr>
      <w:tr>
        <w:tblPrEx>
          <w:tblCellMar>
            <w:top w:w="0" w:type="dxa"/>
            <w:left w:w="0" w:type="dxa"/>
            <w:bottom w:w="0" w:type="dxa"/>
            <w:right w:w="0" w:type="dxa"/>
          </w:tblCellMar>
        </w:tblPrEx>
        <w:trPr>
          <w:trHeight w:val="1009"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定量包装商品净含量国家计量监督专项抽查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企业、个体工商户及其他经营者</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抽样检测</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《计量法》第十八条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《定量包装商品计量监督管理办法》</w:t>
            </w:r>
          </w:p>
        </w:tc>
      </w:tr>
      <w:tr>
        <w:tblPrEx>
          <w:tblCellMar>
            <w:top w:w="0" w:type="dxa"/>
            <w:left w:w="0" w:type="dxa"/>
            <w:bottom w:w="0" w:type="dxa"/>
            <w:right w:w="0" w:type="dxa"/>
          </w:tblCellMar>
        </w:tblPrEx>
        <w:trPr>
          <w:trHeight w:val="312"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型式批准监督检查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企业、事业单位、个体工商户及其他经营者</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重点检查事项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现场检查、抽样检测</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《计量法》第十八条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《计量法实施细则》第十八、二十条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《计量器具新产品管理办法》第十八条</w:t>
            </w:r>
          </w:p>
        </w:tc>
      </w:tr>
      <w:tr>
        <w:tblPrEx>
          <w:tblCellMar>
            <w:top w:w="0" w:type="dxa"/>
            <w:left w:w="0" w:type="dxa"/>
            <w:bottom w:w="0" w:type="dxa"/>
            <w:right w:w="0" w:type="dxa"/>
          </w:tblCellMar>
        </w:tblPrEx>
        <w:trPr>
          <w:trHeight w:val="312"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能效标识计量专项监督检查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企业</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重点检查事项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抽样检测</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《节约能源法》第七十三条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《能源计量监督管理办法》第十六条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《能源效率标识管理办法》第十八条</w:t>
            </w:r>
          </w:p>
        </w:tc>
      </w:tr>
      <w:tr>
        <w:tblPrEx>
          <w:tblCellMar>
            <w:top w:w="0" w:type="dxa"/>
            <w:left w:w="0" w:type="dxa"/>
            <w:bottom w:w="0" w:type="dxa"/>
            <w:right w:w="0" w:type="dxa"/>
          </w:tblCellMar>
        </w:tblPrEx>
        <w:trPr>
          <w:trHeight w:val="90"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水效标识计量专项监督检查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企业</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重点检查事项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抽样检测</w:t>
            </w:r>
          </w:p>
        </w:tc>
        <w:tc>
          <w:tcPr>
            <w:tcW w:w="1185"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《水效标识管理办法》第十七条</w:t>
            </w:r>
          </w:p>
        </w:tc>
      </w:tr>
      <w:tr>
        <w:tblPrEx>
          <w:tblCellMar>
            <w:top w:w="0" w:type="dxa"/>
            <w:left w:w="0" w:type="dxa"/>
            <w:bottom w:w="0" w:type="dxa"/>
            <w:right w:w="0" w:type="dxa"/>
          </w:tblCellMar>
        </w:tblPrEx>
        <w:trPr>
          <w:trHeight w:val="1130" w:hRule="atLeast"/>
        </w:trPr>
        <w:tc>
          <w:tcPr>
            <w:tcW w:w="32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21</w:t>
            </w:r>
          </w:p>
        </w:tc>
        <w:tc>
          <w:tcPr>
            <w:tcW w:w="803"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检验检测机构检查</w:t>
            </w:r>
          </w:p>
        </w:tc>
        <w:tc>
          <w:tcPr>
            <w:tcW w:w="159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检验检测机构检查</w:t>
            </w:r>
          </w:p>
        </w:tc>
        <w:tc>
          <w:tcPr>
            <w:tcW w:w="18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检验检测机构</w:t>
            </w:r>
          </w:p>
        </w:tc>
        <w:tc>
          <w:tcPr>
            <w:tcW w:w="81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现场检查、书面检查</w:t>
            </w:r>
          </w:p>
        </w:tc>
        <w:tc>
          <w:tcPr>
            <w:tcW w:w="1185" w:type="dxa"/>
            <w:vMerge w:val="restart"/>
            <w:tcBorders>
              <w:top w:val="single" w:color="000000" w:sz="4" w:space="0"/>
              <w:left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质量室</w:t>
            </w:r>
          </w:p>
        </w:tc>
        <w:tc>
          <w:tcPr>
            <w:tcW w:w="720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《计量法》第二十二条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《产品质量法》第十九条 、第五十七条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《认证认可条例》第十六条 、第三十三条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《检验检测机构资质认定管理办法》第四十一条至第四十七条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《食品检验机构资质认定管理办法》第三十二条至第四十条</w:t>
            </w:r>
          </w:p>
        </w:tc>
      </w:tr>
      <w:tr>
        <w:tblPrEx>
          <w:tblCellMar>
            <w:top w:w="0" w:type="dxa"/>
            <w:left w:w="0" w:type="dxa"/>
            <w:bottom w:w="0" w:type="dxa"/>
            <w:right w:w="0" w:type="dxa"/>
          </w:tblCellMar>
        </w:tblPrEx>
        <w:trPr>
          <w:trHeight w:val="805" w:hRule="atLeast"/>
        </w:trPr>
        <w:tc>
          <w:tcPr>
            <w:tcW w:w="326"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22</w:t>
            </w:r>
          </w:p>
        </w:tc>
        <w:tc>
          <w:tcPr>
            <w:tcW w:w="803"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市场类标准监督检查</w:t>
            </w:r>
          </w:p>
        </w:tc>
        <w:tc>
          <w:tcPr>
            <w:tcW w:w="1590"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企业标准自我声明监督检查</w:t>
            </w:r>
          </w:p>
        </w:tc>
        <w:tc>
          <w:tcPr>
            <w:tcW w:w="1807"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企业</w:t>
            </w:r>
          </w:p>
        </w:tc>
        <w:tc>
          <w:tcPr>
            <w:tcW w:w="812"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书面检查、网络检查</w:t>
            </w:r>
          </w:p>
        </w:tc>
        <w:tc>
          <w:tcPr>
            <w:tcW w:w="1185" w:type="dxa"/>
            <w:vMerge w:val="continue"/>
            <w:tcBorders>
              <w:left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《标准化法》第二十七条、第三十八条、第三十九条、第四十二条</w:t>
            </w:r>
          </w:p>
        </w:tc>
      </w:tr>
      <w:tr>
        <w:tblPrEx>
          <w:tblCellMar>
            <w:top w:w="0" w:type="dxa"/>
            <w:left w:w="0" w:type="dxa"/>
            <w:bottom w:w="0" w:type="dxa"/>
            <w:right w:w="0" w:type="dxa"/>
          </w:tblCellMar>
        </w:tblPrEx>
        <w:trPr>
          <w:trHeight w:val="669" w:hRule="atLeast"/>
        </w:trPr>
        <w:tc>
          <w:tcPr>
            <w:tcW w:w="326"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590"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团体标准自我声明监督检查</w:t>
            </w:r>
          </w:p>
        </w:tc>
        <w:tc>
          <w:tcPr>
            <w:tcW w:w="1807"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社会团体</w:t>
            </w:r>
          </w:p>
        </w:tc>
        <w:tc>
          <w:tcPr>
            <w:tcW w:w="812"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书面检查、网络检查</w:t>
            </w:r>
          </w:p>
        </w:tc>
        <w:tc>
          <w:tcPr>
            <w:tcW w:w="1185" w:type="dxa"/>
            <w:vMerge w:val="continue"/>
            <w:tcBorders>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tcBorders>
              <w:top w:val="nil"/>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《标准化法》第二十七条、第三十九条、第四十二条</w:t>
            </w:r>
          </w:p>
        </w:tc>
      </w:tr>
      <w:tr>
        <w:tblPrEx>
          <w:tblCellMar>
            <w:top w:w="0" w:type="dxa"/>
            <w:left w:w="0" w:type="dxa"/>
            <w:bottom w:w="0" w:type="dxa"/>
            <w:right w:w="0" w:type="dxa"/>
          </w:tblCellMar>
        </w:tblPrEx>
        <w:trPr>
          <w:trHeight w:val="1257" w:hRule="atLeast"/>
        </w:trPr>
        <w:tc>
          <w:tcPr>
            <w:tcW w:w="3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24</w:t>
            </w:r>
          </w:p>
        </w:tc>
        <w:tc>
          <w:tcPr>
            <w:tcW w:w="80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专利真实性监督检查</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专利证书、专利文件或专利申请文件真实性的检查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各类市场主体、产品</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价格室</w:t>
            </w:r>
          </w:p>
        </w:tc>
        <w:tc>
          <w:tcPr>
            <w:tcW w:w="720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《专利法》 第六十三条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《专利法实施细则》 第八十四条                                     《宁《宁夏回族自治区专利保护条例》第二十五条</w:t>
            </w:r>
          </w:p>
        </w:tc>
      </w:tr>
      <w:tr>
        <w:tblPrEx>
          <w:tblCellMar>
            <w:top w:w="0" w:type="dxa"/>
            <w:left w:w="0" w:type="dxa"/>
            <w:bottom w:w="0" w:type="dxa"/>
            <w:right w:w="0" w:type="dxa"/>
          </w:tblCellMar>
        </w:tblPrEx>
        <w:trPr>
          <w:trHeight w:val="90"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产品专利宣传真实性的检查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各类市场主体</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现场检查</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价格室</w:t>
            </w:r>
          </w:p>
        </w:tc>
        <w:tc>
          <w:tcPr>
            <w:tcW w:w="720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r>
      <w:tr>
        <w:tblPrEx>
          <w:tblCellMar>
            <w:top w:w="0" w:type="dxa"/>
            <w:left w:w="0" w:type="dxa"/>
            <w:bottom w:w="0" w:type="dxa"/>
            <w:right w:w="0" w:type="dxa"/>
          </w:tblCellMar>
        </w:tblPrEx>
        <w:trPr>
          <w:trHeight w:val="522" w:hRule="atLeast"/>
        </w:trPr>
        <w:tc>
          <w:tcPr>
            <w:tcW w:w="32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25</w:t>
            </w:r>
          </w:p>
        </w:tc>
        <w:tc>
          <w:tcPr>
            <w:tcW w:w="80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商标使用行为的检查</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商标使用行为的检查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企业、个体工商户、农民专业合作社</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现场抽查、书面检查</w:t>
            </w:r>
          </w:p>
        </w:tc>
        <w:tc>
          <w:tcPr>
            <w:tcW w:w="118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市管室</w:t>
            </w:r>
          </w:p>
        </w:tc>
        <w:tc>
          <w:tcPr>
            <w:tcW w:w="7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《商标法》第六条、第十条、第十四条第五款、第四十三条第二款、第四十九条第一款、第五十一条、第五十二条、第五十三条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《商标法实施条例》第七十一条</w:t>
            </w:r>
          </w:p>
        </w:tc>
      </w:tr>
      <w:tr>
        <w:tblPrEx>
          <w:tblCellMar>
            <w:top w:w="0" w:type="dxa"/>
            <w:left w:w="0" w:type="dxa"/>
            <w:bottom w:w="0" w:type="dxa"/>
            <w:right w:w="0" w:type="dxa"/>
          </w:tblCellMar>
        </w:tblPrEx>
        <w:trPr>
          <w:trHeight w:val="413"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集体商标、证明商标（含地理标志）使用行为的检查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企业、个体工商户、农民专业合作社</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现场抽查、书面检查</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 xml:space="preserve">《商标法》第十六条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 xml:space="preserve">《商标法实施条例》第四条 </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《集体商标、证明商标注册和管理办法》第十七条、第十八条、第十九条、第二十条、第二十一条、第二十二条</w:t>
            </w:r>
          </w:p>
        </w:tc>
      </w:tr>
      <w:tr>
        <w:tblPrEx>
          <w:tblCellMar>
            <w:top w:w="0" w:type="dxa"/>
            <w:left w:w="0" w:type="dxa"/>
            <w:bottom w:w="0" w:type="dxa"/>
            <w:right w:w="0" w:type="dxa"/>
          </w:tblCellMar>
        </w:tblPrEx>
        <w:trPr>
          <w:trHeight w:val="780" w:hRule="atLeast"/>
        </w:trPr>
        <w:tc>
          <w:tcPr>
            <w:tcW w:w="32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center"/>
              <w:rPr>
                <w:rFonts w:hint="eastAsia" w:ascii="仿宋" w:hAnsi="仿宋" w:eastAsia="仿宋" w:cs="仿宋"/>
                <w:i w:val="0"/>
                <w:color w:val="000000"/>
                <w:sz w:val="21"/>
                <w:szCs w:val="21"/>
                <w:u w:val="none"/>
              </w:rPr>
            </w:pPr>
          </w:p>
        </w:tc>
        <w:tc>
          <w:tcPr>
            <w:tcW w:w="8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atLeast"/>
              <w:jc w:val="left"/>
              <w:rPr>
                <w:rFonts w:hint="eastAsia" w:ascii="仿宋" w:hAnsi="仿宋" w:eastAsia="仿宋" w:cs="仿宋"/>
                <w:i w:val="0"/>
                <w:color w:val="000000"/>
                <w:sz w:val="21"/>
                <w:szCs w:val="21"/>
                <w:u w:val="none"/>
              </w:rPr>
            </w:pP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商标印制行为的检查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企业、个体工商户、农民专业合作社</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现场抽查、书面检查</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《商标印制管理办法》第三条、第四条、第五条、第六条、第七条、第八条、第九条、第十条、第十一条、第十二条、第十三条</w:t>
            </w:r>
          </w:p>
        </w:tc>
      </w:tr>
      <w:tr>
        <w:tblPrEx>
          <w:tblCellMar>
            <w:top w:w="0" w:type="dxa"/>
            <w:left w:w="0" w:type="dxa"/>
            <w:bottom w:w="0" w:type="dxa"/>
            <w:right w:w="0" w:type="dxa"/>
          </w:tblCellMar>
        </w:tblPrEx>
        <w:trPr>
          <w:trHeight w:val="338" w:hRule="atLeast"/>
        </w:trPr>
        <w:tc>
          <w:tcPr>
            <w:tcW w:w="3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26</w:t>
            </w:r>
          </w:p>
        </w:tc>
        <w:tc>
          <w:tcPr>
            <w:tcW w:w="8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商标代理行为的检查</w:t>
            </w:r>
          </w:p>
        </w:tc>
        <w:tc>
          <w:tcPr>
            <w:tcW w:w="15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商标代理行为的检查</w:t>
            </w:r>
          </w:p>
        </w:tc>
        <w:tc>
          <w:tcPr>
            <w:tcW w:w="1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经市场监管部门登记从事商标代理业务的服务机构（所）</w:t>
            </w:r>
          </w:p>
        </w:tc>
        <w:tc>
          <w:tcPr>
            <w:tcW w:w="8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一般检查事项</w:t>
            </w:r>
          </w:p>
        </w:tc>
        <w:tc>
          <w:tcPr>
            <w:tcW w:w="11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现场抽查、书面检查</w:t>
            </w:r>
          </w:p>
        </w:tc>
        <w:tc>
          <w:tcPr>
            <w:tcW w:w="118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center"/>
              <w:textAlignment w:val="center"/>
              <w:rPr>
                <w:rFonts w:hint="eastAsia" w:ascii="仿宋" w:hAnsi="仿宋" w:eastAsia="仿宋" w:cs="仿宋"/>
                <w:i w:val="0"/>
                <w:color w:val="000000"/>
                <w:sz w:val="21"/>
                <w:szCs w:val="21"/>
                <w:u w:val="none"/>
              </w:rPr>
            </w:pPr>
          </w:p>
        </w:tc>
        <w:tc>
          <w:tcPr>
            <w:tcW w:w="7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atLeast"/>
              <w:jc w:val="left"/>
              <w:textAlignment w:val="center"/>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《商标法》第六十八条</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《商标法实施条例》第八十八条、第八十九条</w:t>
            </w:r>
          </w:p>
        </w:tc>
      </w:tr>
    </w:tbl>
    <w:p>
      <w:pPr>
        <w:rPr>
          <w:rFonts w:hint="eastAsia" w:ascii="黑体" w:hAnsi="黑体" w:eastAsia="黑体" w:cs="黑体"/>
          <w:sz w:val="32"/>
          <w:szCs w:val="32"/>
          <w:lang w:val="en-US" w:eastAsia="zh-CN"/>
        </w:rPr>
      </w:pPr>
    </w:p>
    <w:p>
      <w:p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tbl>
      <w:tblPr>
        <w:tblStyle w:val="4"/>
        <w:tblW w:w="13860" w:type="dxa"/>
        <w:tblInd w:w="0" w:type="dxa"/>
        <w:tblLayout w:type="autofit"/>
        <w:tblCellMar>
          <w:top w:w="0" w:type="dxa"/>
          <w:left w:w="0" w:type="dxa"/>
          <w:bottom w:w="0" w:type="dxa"/>
          <w:right w:w="0" w:type="dxa"/>
        </w:tblCellMar>
      </w:tblPr>
      <w:tblGrid>
        <w:gridCol w:w="558"/>
        <w:gridCol w:w="1794"/>
        <w:gridCol w:w="3631"/>
        <w:gridCol w:w="2101"/>
        <w:gridCol w:w="1933"/>
        <w:gridCol w:w="783"/>
        <w:gridCol w:w="1647"/>
        <w:gridCol w:w="1413"/>
      </w:tblGrid>
      <w:tr>
        <w:tblPrEx>
          <w:tblCellMar>
            <w:top w:w="0" w:type="dxa"/>
            <w:left w:w="0" w:type="dxa"/>
            <w:bottom w:w="0" w:type="dxa"/>
            <w:right w:w="0" w:type="dxa"/>
          </w:tblCellMar>
        </w:tblPrEx>
        <w:trPr>
          <w:trHeight w:val="711" w:hRule="atLeast"/>
        </w:trPr>
        <w:tc>
          <w:tcPr>
            <w:tcW w:w="13860" w:type="dxa"/>
            <w:gridSpan w:val="8"/>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平罗县市场监督管理局2020年随机抽查工作计划表（部门内部）</w:t>
            </w:r>
          </w:p>
        </w:tc>
      </w:tr>
      <w:tr>
        <w:tblPrEx>
          <w:tblCellMar>
            <w:top w:w="0" w:type="dxa"/>
            <w:left w:w="0" w:type="dxa"/>
            <w:bottom w:w="0" w:type="dxa"/>
            <w:right w:w="0" w:type="dxa"/>
          </w:tblCellMar>
        </w:tblPrEx>
        <w:trPr>
          <w:trHeight w:val="632" w:hRule="atLeast"/>
        </w:trPr>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序号</w:t>
            </w:r>
          </w:p>
        </w:tc>
        <w:tc>
          <w:tcPr>
            <w:tcW w:w="1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抽查任务名称</w:t>
            </w:r>
          </w:p>
        </w:tc>
        <w:tc>
          <w:tcPr>
            <w:tcW w:w="3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抽查事项</w:t>
            </w:r>
          </w:p>
        </w:tc>
        <w:tc>
          <w:tcPr>
            <w:tcW w:w="21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检查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对象</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抽查方式</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抽查               比例</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组织抽查单位</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检查              时间</w:t>
            </w:r>
          </w:p>
        </w:tc>
      </w:tr>
      <w:tr>
        <w:tblPrEx>
          <w:tblCellMar>
            <w:top w:w="0" w:type="dxa"/>
            <w:left w:w="0" w:type="dxa"/>
            <w:bottom w:w="0" w:type="dxa"/>
            <w:right w:w="0" w:type="dxa"/>
          </w:tblCellMar>
        </w:tblPrEx>
        <w:trPr>
          <w:trHeight w:val="632" w:hRule="atLeast"/>
        </w:trPr>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农资市场监督检查</w:t>
            </w:r>
          </w:p>
        </w:tc>
        <w:tc>
          <w:tcPr>
            <w:tcW w:w="3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产品价格、产品质量</w:t>
            </w:r>
          </w:p>
        </w:tc>
        <w:tc>
          <w:tcPr>
            <w:tcW w:w="21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全县流通领域农资市场主体</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现场检查</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执法稽查队</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4月至5月</w:t>
            </w:r>
          </w:p>
        </w:tc>
      </w:tr>
      <w:tr>
        <w:tblPrEx>
          <w:tblCellMar>
            <w:top w:w="0" w:type="dxa"/>
            <w:left w:w="0" w:type="dxa"/>
            <w:bottom w:w="0" w:type="dxa"/>
            <w:right w:w="0" w:type="dxa"/>
          </w:tblCellMar>
        </w:tblPrEx>
        <w:trPr>
          <w:trHeight w:val="632" w:hRule="atLeast"/>
        </w:trPr>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1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检验检测机构双随机检查</w:t>
            </w:r>
          </w:p>
        </w:tc>
        <w:tc>
          <w:tcPr>
            <w:tcW w:w="3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检验检测机构检查</w:t>
            </w:r>
          </w:p>
        </w:tc>
        <w:tc>
          <w:tcPr>
            <w:tcW w:w="21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全县检验检测机构</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现场检查</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质量室</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4月至5月</w:t>
            </w:r>
          </w:p>
        </w:tc>
      </w:tr>
      <w:tr>
        <w:tblPrEx>
          <w:tblCellMar>
            <w:top w:w="0" w:type="dxa"/>
            <w:left w:w="0" w:type="dxa"/>
            <w:bottom w:w="0" w:type="dxa"/>
            <w:right w:w="0" w:type="dxa"/>
          </w:tblCellMar>
        </w:tblPrEx>
        <w:trPr>
          <w:trHeight w:val="632" w:hRule="atLeast"/>
        </w:trPr>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1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法定计量检定机构专项监督检查</w:t>
            </w:r>
          </w:p>
        </w:tc>
        <w:tc>
          <w:tcPr>
            <w:tcW w:w="3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法定计量检定机构专项监督检查</w:t>
            </w:r>
          </w:p>
        </w:tc>
        <w:tc>
          <w:tcPr>
            <w:tcW w:w="21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法定计量检定机构</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现场检查、书面检查</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质量室</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4月至5月</w:t>
            </w:r>
          </w:p>
        </w:tc>
      </w:tr>
      <w:tr>
        <w:tblPrEx>
          <w:tblCellMar>
            <w:top w:w="0" w:type="dxa"/>
            <w:left w:w="0" w:type="dxa"/>
            <w:bottom w:w="0" w:type="dxa"/>
            <w:right w:w="0" w:type="dxa"/>
          </w:tblCellMar>
        </w:tblPrEx>
        <w:trPr>
          <w:trHeight w:val="632" w:hRule="atLeast"/>
        </w:trPr>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1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电子商务经营行为监督检查</w:t>
            </w:r>
          </w:p>
        </w:tc>
        <w:tc>
          <w:tcPr>
            <w:tcW w:w="3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电子商务平台经营者履行主体责任的检查</w:t>
            </w:r>
          </w:p>
        </w:tc>
        <w:tc>
          <w:tcPr>
            <w:tcW w:w="21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全县电子商务经营者</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现场检查、网络抽查</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市管室</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5月至6月</w:t>
            </w:r>
          </w:p>
        </w:tc>
      </w:tr>
      <w:tr>
        <w:tblPrEx>
          <w:tblCellMar>
            <w:top w:w="0" w:type="dxa"/>
            <w:left w:w="0" w:type="dxa"/>
            <w:bottom w:w="0" w:type="dxa"/>
            <w:right w:w="0" w:type="dxa"/>
          </w:tblCellMar>
        </w:tblPrEx>
        <w:trPr>
          <w:trHeight w:val="632" w:hRule="atLeast"/>
        </w:trPr>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1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投资类企业公示信息检查</w:t>
            </w:r>
          </w:p>
        </w:tc>
        <w:tc>
          <w:tcPr>
            <w:tcW w:w="3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企业登记信息及即时公示信息的检查。</w:t>
            </w:r>
          </w:p>
        </w:tc>
        <w:tc>
          <w:tcPr>
            <w:tcW w:w="21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全县投资类企业</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现场检查、网络抽查</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登记注册室</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5月至6月</w:t>
            </w:r>
          </w:p>
        </w:tc>
      </w:tr>
      <w:tr>
        <w:tblPrEx>
          <w:tblCellMar>
            <w:top w:w="0" w:type="dxa"/>
            <w:left w:w="0" w:type="dxa"/>
            <w:bottom w:w="0" w:type="dxa"/>
            <w:right w:w="0" w:type="dxa"/>
          </w:tblCellMar>
        </w:tblPrEx>
        <w:trPr>
          <w:trHeight w:val="1543" w:hRule="atLeast"/>
        </w:trPr>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1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化妆品经营单位检查</w:t>
            </w:r>
          </w:p>
        </w:tc>
        <w:tc>
          <w:tcPr>
            <w:tcW w:w="3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（一）化妆品 合法性；（二）化妆品标识标签；（三）购货验收制度；（四）产品 保质期；（五）储存条件、卫生情况；（六）产品宣传、店内宣传；（七）其他违法行为</w:t>
            </w:r>
          </w:p>
        </w:tc>
        <w:tc>
          <w:tcPr>
            <w:tcW w:w="21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化妆品经营单位</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现场检查</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药械监管室</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6月至7月</w:t>
            </w:r>
          </w:p>
        </w:tc>
      </w:tr>
      <w:tr>
        <w:tblPrEx>
          <w:tblCellMar>
            <w:top w:w="0" w:type="dxa"/>
            <w:left w:w="0" w:type="dxa"/>
            <w:bottom w:w="0" w:type="dxa"/>
            <w:right w:w="0" w:type="dxa"/>
          </w:tblCellMar>
        </w:tblPrEx>
        <w:trPr>
          <w:trHeight w:val="936" w:hRule="atLeast"/>
        </w:trPr>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1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重大节假日市场价格行为专项检查</w:t>
            </w:r>
          </w:p>
        </w:tc>
        <w:tc>
          <w:tcPr>
            <w:tcW w:w="3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旅游、商贸零售等行业明码标价及其他价格行为专项检查</w:t>
            </w:r>
          </w:p>
        </w:tc>
        <w:tc>
          <w:tcPr>
            <w:tcW w:w="21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旅游景点、商场、超市等经营者</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现场检查</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价格室</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6月</w:t>
            </w:r>
          </w:p>
        </w:tc>
      </w:tr>
      <w:tr>
        <w:tblPrEx>
          <w:tblCellMar>
            <w:top w:w="0" w:type="dxa"/>
            <w:left w:w="0" w:type="dxa"/>
            <w:bottom w:w="0" w:type="dxa"/>
            <w:right w:w="0" w:type="dxa"/>
          </w:tblCellMar>
        </w:tblPrEx>
        <w:trPr>
          <w:trHeight w:val="632" w:hRule="atLeast"/>
        </w:trPr>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1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特种设备日常监督检查</w:t>
            </w:r>
          </w:p>
        </w:tc>
        <w:tc>
          <w:tcPr>
            <w:tcW w:w="3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重点检查事项</w:t>
            </w:r>
          </w:p>
        </w:tc>
        <w:tc>
          <w:tcPr>
            <w:tcW w:w="21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特种设备生产单位</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现场检查</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特设室</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7月至8月</w:t>
            </w:r>
          </w:p>
        </w:tc>
      </w:tr>
      <w:tr>
        <w:tblPrEx>
          <w:tblCellMar>
            <w:top w:w="0" w:type="dxa"/>
            <w:left w:w="0" w:type="dxa"/>
            <w:bottom w:w="0" w:type="dxa"/>
            <w:right w:w="0" w:type="dxa"/>
          </w:tblCellMar>
        </w:tblPrEx>
        <w:trPr>
          <w:trHeight w:val="936" w:hRule="atLeast"/>
        </w:trPr>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1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2019年度企业公示信息检查</w:t>
            </w:r>
          </w:p>
        </w:tc>
        <w:tc>
          <w:tcPr>
            <w:tcW w:w="3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1.年度报告公示信息的检查及外国企业常驻代表机构年度报告情况；2.即时公示信息的检查。</w:t>
            </w:r>
          </w:p>
        </w:tc>
        <w:tc>
          <w:tcPr>
            <w:tcW w:w="21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截止2020年6月30日已报2019年度年报的市场主体</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现场检查</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登记注册室</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7月至10月 </w:t>
            </w:r>
          </w:p>
        </w:tc>
      </w:tr>
      <w:tr>
        <w:tblPrEx>
          <w:tblCellMar>
            <w:top w:w="0" w:type="dxa"/>
            <w:left w:w="0" w:type="dxa"/>
            <w:bottom w:w="0" w:type="dxa"/>
            <w:right w:w="0" w:type="dxa"/>
          </w:tblCellMar>
        </w:tblPrEx>
        <w:trPr>
          <w:trHeight w:val="329" w:hRule="atLeast"/>
        </w:trPr>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1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2019年度个体工商户公示信息检查</w:t>
            </w:r>
          </w:p>
        </w:tc>
        <w:tc>
          <w:tcPr>
            <w:tcW w:w="3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1.年度报告公示信息的检查及外国企业常驻代表机构年度报告情况；2.即时公示信息的检查。</w:t>
            </w:r>
          </w:p>
        </w:tc>
        <w:tc>
          <w:tcPr>
            <w:tcW w:w="21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截止2020年6月30日已报2019年度年报的市场主体</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现场检查</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登记注册室</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7月至10月 </w:t>
            </w:r>
          </w:p>
        </w:tc>
      </w:tr>
      <w:tr>
        <w:tblPrEx>
          <w:tblCellMar>
            <w:top w:w="0" w:type="dxa"/>
            <w:left w:w="0" w:type="dxa"/>
            <w:bottom w:w="0" w:type="dxa"/>
            <w:right w:w="0" w:type="dxa"/>
          </w:tblCellMar>
        </w:tblPrEx>
        <w:trPr>
          <w:trHeight w:val="632" w:hRule="atLeast"/>
        </w:trPr>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11</w:t>
            </w:r>
          </w:p>
        </w:tc>
        <w:tc>
          <w:tcPr>
            <w:tcW w:w="1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食品生产体系检查</w:t>
            </w:r>
          </w:p>
        </w:tc>
        <w:tc>
          <w:tcPr>
            <w:tcW w:w="3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食品生产质量安全监督检查</w:t>
            </w:r>
          </w:p>
        </w:tc>
        <w:tc>
          <w:tcPr>
            <w:tcW w:w="21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全县获证食品生产企业</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现场检查</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食品室</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8月至9月</w:t>
            </w:r>
          </w:p>
        </w:tc>
      </w:tr>
      <w:tr>
        <w:tblPrEx>
          <w:tblCellMar>
            <w:top w:w="0" w:type="dxa"/>
            <w:left w:w="0" w:type="dxa"/>
            <w:bottom w:w="0" w:type="dxa"/>
            <w:right w:w="0" w:type="dxa"/>
          </w:tblCellMar>
        </w:tblPrEx>
        <w:trPr>
          <w:trHeight w:val="632" w:hRule="atLeast"/>
        </w:trPr>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12</w:t>
            </w:r>
          </w:p>
        </w:tc>
        <w:tc>
          <w:tcPr>
            <w:tcW w:w="1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食品销售监督检查</w:t>
            </w:r>
          </w:p>
        </w:tc>
        <w:tc>
          <w:tcPr>
            <w:tcW w:w="3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校园食品销售监督</w:t>
            </w:r>
          </w:p>
        </w:tc>
        <w:tc>
          <w:tcPr>
            <w:tcW w:w="21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全县校园周边食品经营户</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现场检查</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食品室</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8月至9月</w:t>
            </w:r>
          </w:p>
        </w:tc>
      </w:tr>
      <w:tr>
        <w:tblPrEx>
          <w:tblCellMar>
            <w:top w:w="0" w:type="dxa"/>
            <w:left w:w="0" w:type="dxa"/>
            <w:bottom w:w="0" w:type="dxa"/>
            <w:right w:w="0" w:type="dxa"/>
          </w:tblCellMar>
        </w:tblPrEx>
        <w:trPr>
          <w:trHeight w:val="632" w:hRule="atLeast"/>
        </w:trPr>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13</w:t>
            </w:r>
          </w:p>
        </w:tc>
        <w:tc>
          <w:tcPr>
            <w:tcW w:w="1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餐饮服务经营者日常监督检查</w:t>
            </w:r>
          </w:p>
        </w:tc>
        <w:tc>
          <w:tcPr>
            <w:tcW w:w="3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重点检查事项</w:t>
            </w:r>
          </w:p>
        </w:tc>
        <w:tc>
          <w:tcPr>
            <w:tcW w:w="21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餐饮服务经营者</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现场检查</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餐饮室</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9月至10月</w:t>
            </w:r>
          </w:p>
        </w:tc>
      </w:tr>
      <w:tr>
        <w:tblPrEx>
          <w:tblCellMar>
            <w:top w:w="0" w:type="dxa"/>
            <w:left w:w="0" w:type="dxa"/>
            <w:bottom w:w="0" w:type="dxa"/>
            <w:right w:w="0" w:type="dxa"/>
          </w:tblCellMar>
        </w:tblPrEx>
        <w:trPr>
          <w:trHeight w:val="632" w:hRule="atLeast"/>
        </w:trPr>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14</w:t>
            </w:r>
          </w:p>
        </w:tc>
        <w:tc>
          <w:tcPr>
            <w:tcW w:w="1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油品质量抽查检查</w:t>
            </w:r>
          </w:p>
        </w:tc>
        <w:tc>
          <w:tcPr>
            <w:tcW w:w="3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产品质量</w:t>
            </w:r>
          </w:p>
        </w:tc>
        <w:tc>
          <w:tcPr>
            <w:tcW w:w="21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全县加油站</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现场检查</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执法稽查队</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10月</w:t>
            </w:r>
          </w:p>
        </w:tc>
      </w:tr>
      <w:tr>
        <w:tblPrEx>
          <w:tblCellMar>
            <w:top w:w="0" w:type="dxa"/>
            <w:left w:w="0" w:type="dxa"/>
            <w:bottom w:w="0" w:type="dxa"/>
            <w:right w:w="0" w:type="dxa"/>
          </w:tblCellMar>
        </w:tblPrEx>
        <w:trPr>
          <w:trHeight w:val="1846" w:hRule="atLeast"/>
        </w:trPr>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15</w:t>
            </w:r>
          </w:p>
        </w:tc>
        <w:tc>
          <w:tcPr>
            <w:tcW w:w="1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药品、医疗器械、保健食品、特殊医学用途配方食品广告主发布相关广告的审查批准情况的检查</w:t>
            </w:r>
          </w:p>
        </w:tc>
        <w:tc>
          <w:tcPr>
            <w:tcW w:w="3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1、药品、医疗器械、保健食品、特殊医学用途配方食品广告主发布相关广告是否经过审查。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2、广告主是否按照审查内容发布广告</w:t>
            </w:r>
          </w:p>
        </w:tc>
        <w:tc>
          <w:tcPr>
            <w:tcW w:w="21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药品、医疗器械、保健食品、特殊医学用途配方食品广告主</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现场检查</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市管室</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9月至10月</w:t>
            </w:r>
          </w:p>
        </w:tc>
      </w:tr>
      <w:tr>
        <w:tblPrEx>
          <w:tblCellMar>
            <w:top w:w="0" w:type="dxa"/>
            <w:left w:w="0" w:type="dxa"/>
            <w:bottom w:w="0" w:type="dxa"/>
            <w:right w:w="0" w:type="dxa"/>
          </w:tblCellMar>
        </w:tblPrEx>
        <w:trPr>
          <w:trHeight w:val="1240" w:hRule="atLeast"/>
        </w:trPr>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16</w:t>
            </w:r>
          </w:p>
        </w:tc>
        <w:tc>
          <w:tcPr>
            <w:tcW w:w="1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2019年-2020年新开办零售药店药品经营质量管理规范监督检查</w:t>
            </w:r>
          </w:p>
        </w:tc>
        <w:tc>
          <w:tcPr>
            <w:tcW w:w="3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零售药店执行药品经营质量管理规范</w:t>
            </w:r>
          </w:p>
        </w:tc>
        <w:tc>
          <w:tcPr>
            <w:tcW w:w="21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2019年1月1日-2020年3月31日期间新开办零售药店</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现场检查</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100%</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药械监管室</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10月至11月</w:t>
            </w:r>
          </w:p>
        </w:tc>
      </w:tr>
      <w:tr>
        <w:tblPrEx>
          <w:tblCellMar>
            <w:top w:w="0" w:type="dxa"/>
            <w:left w:w="0" w:type="dxa"/>
            <w:bottom w:w="0" w:type="dxa"/>
            <w:right w:w="0" w:type="dxa"/>
          </w:tblCellMar>
        </w:tblPrEx>
        <w:trPr>
          <w:trHeight w:val="946" w:hRule="atLeast"/>
        </w:trPr>
        <w:tc>
          <w:tcPr>
            <w:tcW w:w="5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17</w:t>
            </w:r>
          </w:p>
        </w:tc>
        <w:tc>
          <w:tcPr>
            <w:tcW w:w="17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零售药店检查</w:t>
            </w:r>
          </w:p>
        </w:tc>
        <w:tc>
          <w:tcPr>
            <w:tcW w:w="3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1、药品、医疗器械的经营资质；2、购进、验收药品和医疗器械情况；3、药品、医疗器械储存养护及经营行为</w:t>
            </w:r>
          </w:p>
        </w:tc>
        <w:tc>
          <w:tcPr>
            <w:tcW w:w="21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零售药店</w:t>
            </w:r>
          </w:p>
        </w:tc>
        <w:tc>
          <w:tcPr>
            <w:tcW w:w="1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现场检查</w:t>
            </w:r>
          </w:p>
        </w:tc>
        <w:tc>
          <w:tcPr>
            <w:tcW w:w="7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w:t>
            </w:r>
          </w:p>
        </w:tc>
        <w:tc>
          <w:tcPr>
            <w:tcW w:w="16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药械监管室</w:t>
            </w:r>
          </w:p>
        </w:tc>
        <w:tc>
          <w:tcPr>
            <w:tcW w:w="14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10月至11月</w:t>
            </w:r>
          </w:p>
        </w:tc>
      </w:tr>
    </w:tbl>
    <w:p>
      <w:pPr>
        <w:rPr>
          <w:rFonts w:hint="default"/>
          <w:lang w:val="en-US" w:eastAsia="zh-CN"/>
        </w:rPr>
        <w:sectPr>
          <w:pgSz w:w="16838" w:h="11905" w:orient="landscape"/>
          <w:pgMar w:top="1474" w:right="1474" w:bottom="1474" w:left="1474" w:header="851" w:footer="1015" w:gutter="0"/>
          <w:cols w:space="0" w:num="1"/>
          <w:rtlGutter w:val="0"/>
          <w:docGrid w:linePitch="312" w:charSpace="0"/>
        </w:sectPr>
      </w:pPr>
    </w:p>
    <w:tbl>
      <w:tblPr>
        <w:tblStyle w:val="4"/>
        <w:tblW w:w="14660" w:type="dxa"/>
        <w:tblInd w:w="0" w:type="dxa"/>
        <w:tblLayout w:type="fixed"/>
        <w:tblCellMar>
          <w:top w:w="0" w:type="dxa"/>
          <w:left w:w="0" w:type="dxa"/>
          <w:bottom w:w="0" w:type="dxa"/>
          <w:right w:w="0" w:type="dxa"/>
        </w:tblCellMar>
      </w:tblPr>
      <w:tblGrid>
        <w:gridCol w:w="630"/>
        <w:gridCol w:w="1704"/>
        <w:gridCol w:w="3580"/>
        <w:gridCol w:w="1960"/>
        <w:gridCol w:w="793"/>
        <w:gridCol w:w="1541"/>
        <w:gridCol w:w="1217"/>
        <w:gridCol w:w="2005"/>
        <w:gridCol w:w="1230"/>
      </w:tblGrid>
      <w:tr>
        <w:tblPrEx>
          <w:tblCellMar>
            <w:top w:w="0" w:type="dxa"/>
            <w:left w:w="0" w:type="dxa"/>
            <w:bottom w:w="0" w:type="dxa"/>
            <w:right w:w="0" w:type="dxa"/>
          </w:tblCellMar>
        </w:tblPrEx>
        <w:trPr>
          <w:trHeight w:val="90" w:hRule="atLeast"/>
        </w:trPr>
        <w:tc>
          <w:tcPr>
            <w:tcW w:w="14660" w:type="dxa"/>
            <w:gridSpan w:val="9"/>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平罗县市场监督管理局2020年随机抽查工作计划表（部门联合）</w:t>
            </w:r>
          </w:p>
        </w:tc>
      </w:tr>
      <w:tr>
        <w:tblPrEx>
          <w:tblCellMar>
            <w:top w:w="0" w:type="dxa"/>
            <w:left w:w="0" w:type="dxa"/>
            <w:bottom w:w="0" w:type="dxa"/>
            <w:right w:w="0" w:type="dxa"/>
          </w:tblCellMar>
        </w:tblPrEx>
        <w:trPr>
          <w:trHeight w:val="9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序号</w:t>
            </w:r>
          </w:p>
        </w:tc>
        <w:tc>
          <w:tcPr>
            <w:tcW w:w="1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抽查任务名称</w:t>
            </w:r>
          </w:p>
        </w:tc>
        <w:tc>
          <w:tcPr>
            <w:tcW w:w="3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抽查事项</w:t>
            </w:r>
          </w:p>
        </w:tc>
        <w:tc>
          <w:tcPr>
            <w:tcW w:w="1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检查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对象</w:t>
            </w: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抽查               比例</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组织抽查单位</w:t>
            </w:r>
          </w:p>
        </w:tc>
        <w:tc>
          <w:tcPr>
            <w:tcW w:w="1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抽查方式</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联合检查参与单位</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检查              时间</w:t>
            </w:r>
          </w:p>
        </w:tc>
      </w:tr>
      <w:tr>
        <w:tblPrEx>
          <w:tblCellMar>
            <w:top w:w="0" w:type="dxa"/>
            <w:left w:w="0" w:type="dxa"/>
            <w:bottom w:w="0" w:type="dxa"/>
            <w:right w:w="0" w:type="dxa"/>
          </w:tblCellMar>
        </w:tblPrEx>
        <w:trPr>
          <w:trHeight w:val="20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集体用餐单位日常监督检查</w:t>
            </w:r>
          </w:p>
        </w:tc>
        <w:tc>
          <w:tcPr>
            <w:tcW w:w="3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1、食品经营许可情况的检查；               2、原料控制（含食品添加剂）情况的检查；                                 3、加工制作过程的检查；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4、供餐、用餐与配送情况的检查；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5、餐饮具清洗消毒情况的检查；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6、场所和设施清洁维护情况的检查；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7、食品安全管理情况的检查；</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8、人员管理情况的检查；</w:t>
            </w:r>
          </w:p>
        </w:tc>
        <w:tc>
          <w:tcPr>
            <w:tcW w:w="1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学校、托幼机构、养老机构食堂、集体用餐配送单位 </w:t>
            </w: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餐饮室</w:t>
            </w:r>
          </w:p>
        </w:tc>
        <w:tc>
          <w:tcPr>
            <w:tcW w:w="1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现场抽查</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县教体局、卫生健康局</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4月至5月</w:t>
            </w:r>
          </w:p>
        </w:tc>
      </w:tr>
      <w:tr>
        <w:tblPrEx>
          <w:tblCellMar>
            <w:top w:w="0" w:type="dxa"/>
            <w:left w:w="0" w:type="dxa"/>
            <w:bottom w:w="0" w:type="dxa"/>
            <w:right w:w="0" w:type="dxa"/>
          </w:tblCellMar>
        </w:tblPrEx>
        <w:trPr>
          <w:trHeight w:val="9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1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食用盐监督检查</w:t>
            </w:r>
          </w:p>
        </w:tc>
        <w:tc>
          <w:tcPr>
            <w:tcW w:w="3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食用盐生产销售的检查</w:t>
            </w:r>
          </w:p>
        </w:tc>
        <w:tc>
          <w:tcPr>
            <w:tcW w:w="1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食用盐生产销售市场主体</w:t>
            </w: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食品室</w:t>
            </w:r>
          </w:p>
        </w:tc>
        <w:tc>
          <w:tcPr>
            <w:tcW w:w="1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现场抽查</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县工信局</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5月至6月</w:t>
            </w:r>
          </w:p>
        </w:tc>
      </w:tr>
      <w:tr>
        <w:tblPrEx>
          <w:tblCellMar>
            <w:top w:w="0" w:type="dxa"/>
            <w:left w:w="0" w:type="dxa"/>
            <w:bottom w:w="0" w:type="dxa"/>
            <w:right w:w="0" w:type="dxa"/>
          </w:tblCellMar>
        </w:tblPrEx>
        <w:trPr>
          <w:trHeight w:val="9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1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文物市场规范管理</w:t>
            </w:r>
          </w:p>
        </w:tc>
        <w:tc>
          <w:tcPr>
            <w:tcW w:w="3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文物经营活动经营资格的检查</w:t>
            </w:r>
          </w:p>
        </w:tc>
        <w:tc>
          <w:tcPr>
            <w:tcW w:w="1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全县文物经营市场主体</w:t>
            </w: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市管室</w:t>
            </w:r>
          </w:p>
        </w:tc>
        <w:tc>
          <w:tcPr>
            <w:tcW w:w="1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现场抽查</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县文广局</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5月至6月</w:t>
            </w:r>
          </w:p>
        </w:tc>
      </w:tr>
      <w:tr>
        <w:tblPrEx>
          <w:tblCellMar>
            <w:top w:w="0" w:type="dxa"/>
            <w:left w:w="0" w:type="dxa"/>
            <w:bottom w:w="0" w:type="dxa"/>
            <w:right w:w="0" w:type="dxa"/>
          </w:tblCellMar>
        </w:tblPrEx>
        <w:trPr>
          <w:trHeight w:val="9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1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野生动物保护市场规范管理</w:t>
            </w:r>
          </w:p>
        </w:tc>
        <w:tc>
          <w:tcPr>
            <w:tcW w:w="3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为非法交易野生动物等违法行为提供交易服务的检查</w:t>
            </w:r>
          </w:p>
        </w:tc>
        <w:tc>
          <w:tcPr>
            <w:tcW w:w="1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全县畜禽交易市场主体</w:t>
            </w: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30%</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市管室</w:t>
            </w:r>
          </w:p>
        </w:tc>
        <w:tc>
          <w:tcPr>
            <w:tcW w:w="1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现场抽查</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县自然资源局</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6月</w:t>
            </w:r>
          </w:p>
        </w:tc>
      </w:tr>
      <w:tr>
        <w:tblPrEx>
          <w:tblCellMar>
            <w:top w:w="0" w:type="dxa"/>
            <w:left w:w="0" w:type="dxa"/>
            <w:bottom w:w="0" w:type="dxa"/>
            <w:right w:w="0" w:type="dxa"/>
          </w:tblCellMar>
        </w:tblPrEx>
        <w:trPr>
          <w:trHeight w:val="9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1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2020年度个体诊所检查</w:t>
            </w:r>
          </w:p>
        </w:tc>
        <w:tc>
          <w:tcPr>
            <w:tcW w:w="3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1、个体诊所购进药品、医疗器械的采购和验收情况；2、个体诊所药品、医疗器械储存和养护情况</w:t>
            </w:r>
          </w:p>
        </w:tc>
        <w:tc>
          <w:tcPr>
            <w:tcW w:w="1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个体诊所</w:t>
            </w: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10%</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药械监管室</w:t>
            </w:r>
          </w:p>
        </w:tc>
        <w:tc>
          <w:tcPr>
            <w:tcW w:w="1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现场抽查</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县卫生健康局</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6月至7月</w:t>
            </w:r>
          </w:p>
        </w:tc>
      </w:tr>
      <w:tr>
        <w:tblPrEx>
          <w:tblCellMar>
            <w:top w:w="0" w:type="dxa"/>
            <w:left w:w="0" w:type="dxa"/>
            <w:bottom w:w="0" w:type="dxa"/>
            <w:right w:w="0" w:type="dxa"/>
          </w:tblCellMar>
        </w:tblPrEx>
        <w:trPr>
          <w:trHeight w:val="9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1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工业产品生产企业检查</w:t>
            </w:r>
          </w:p>
        </w:tc>
        <w:tc>
          <w:tcPr>
            <w:tcW w:w="3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1、工业产品生产许可资格检查；2工业产品生产许可证获证企业条件检查</w:t>
            </w:r>
          </w:p>
        </w:tc>
        <w:tc>
          <w:tcPr>
            <w:tcW w:w="1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全县获证工业生产许可证企业</w:t>
            </w: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质量室</w:t>
            </w:r>
          </w:p>
        </w:tc>
        <w:tc>
          <w:tcPr>
            <w:tcW w:w="1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现场抽查</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县工信局</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7月至8月</w:t>
            </w:r>
          </w:p>
        </w:tc>
      </w:tr>
      <w:tr>
        <w:tblPrEx>
          <w:tblCellMar>
            <w:top w:w="0" w:type="dxa"/>
            <w:left w:w="0" w:type="dxa"/>
            <w:bottom w:w="0" w:type="dxa"/>
            <w:right w:w="0" w:type="dxa"/>
          </w:tblCellMar>
        </w:tblPrEx>
        <w:trPr>
          <w:trHeight w:val="9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w:t>
            </w:r>
          </w:p>
        </w:tc>
        <w:tc>
          <w:tcPr>
            <w:tcW w:w="1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特种设备日常监督检查</w:t>
            </w:r>
          </w:p>
        </w:tc>
        <w:tc>
          <w:tcPr>
            <w:tcW w:w="3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重点检查事项</w:t>
            </w:r>
          </w:p>
        </w:tc>
        <w:tc>
          <w:tcPr>
            <w:tcW w:w="1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特种设备使用单位</w:t>
            </w: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特设室</w:t>
            </w:r>
          </w:p>
        </w:tc>
        <w:tc>
          <w:tcPr>
            <w:tcW w:w="1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现场抽查</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县应急管理局</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7月至8月</w:t>
            </w:r>
          </w:p>
        </w:tc>
      </w:tr>
      <w:tr>
        <w:tblPrEx>
          <w:tblCellMar>
            <w:top w:w="0" w:type="dxa"/>
            <w:left w:w="0" w:type="dxa"/>
            <w:bottom w:w="0" w:type="dxa"/>
            <w:right w:w="0" w:type="dxa"/>
          </w:tblCellMar>
        </w:tblPrEx>
        <w:trPr>
          <w:trHeight w:val="9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w:t>
            </w:r>
          </w:p>
        </w:tc>
        <w:tc>
          <w:tcPr>
            <w:tcW w:w="1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2019年度农专社公示信息检查</w:t>
            </w:r>
          </w:p>
        </w:tc>
        <w:tc>
          <w:tcPr>
            <w:tcW w:w="3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1.年度报告公示信息的检查及外国企业常驻代表机构年度报告情况；2.即时公示信息的检查。</w:t>
            </w:r>
          </w:p>
        </w:tc>
        <w:tc>
          <w:tcPr>
            <w:tcW w:w="1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截止2020年6月30日已报2020年度年报的市场主体</w:t>
            </w: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登记注册室</w:t>
            </w:r>
          </w:p>
        </w:tc>
        <w:tc>
          <w:tcPr>
            <w:tcW w:w="1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现场抽查</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县农业农村</w:t>
            </w:r>
            <w:bookmarkStart w:id="0" w:name="_GoBack"/>
            <w:bookmarkEnd w:id="0"/>
            <w:r>
              <w:rPr>
                <w:rFonts w:hint="eastAsia" w:ascii="仿宋" w:hAnsi="仿宋" w:eastAsia="仿宋" w:cs="仿宋"/>
                <w:i w:val="0"/>
                <w:color w:val="000000"/>
                <w:kern w:val="0"/>
                <w:sz w:val="22"/>
                <w:szCs w:val="22"/>
                <w:u w:val="none"/>
                <w:lang w:val="en-US" w:eastAsia="zh-CN" w:bidi="ar"/>
              </w:rPr>
              <w:t>局</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7月至10月 </w:t>
            </w:r>
          </w:p>
        </w:tc>
      </w:tr>
      <w:tr>
        <w:tblPrEx>
          <w:tblCellMar>
            <w:top w:w="0" w:type="dxa"/>
            <w:left w:w="0" w:type="dxa"/>
            <w:bottom w:w="0" w:type="dxa"/>
            <w:right w:w="0" w:type="dxa"/>
          </w:tblCellMar>
        </w:tblPrEx>
        <w:trPr>
          <w:trHeight w:val="90" w:hRule="atLeast"/>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w:t>
            </w:r>
          </w:p>
        </w:tc>
        <w:tc>
          <w:tcPr>
            <w:tcW w:w="17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医疗收费专项检查</w:t>
            </w:r>
          </w:p>
        </w:tc>
        <w:tc>
          <w:tcPr>
            <w:tcW w:w="3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执行政府定价、政府指导价、明码标价情况及其它价格行为的检查</w:t>
            </w:r>
          </w:p>
        </w:tc>
        <w:tc>
          <w:tcPr>
            <w:tcW w:w="1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各类医疗机构</w:t>
            </w:r>
          </w:p>
        </w:tc>
        <w:tc>
          <w:tcPr>
            <w:tcW w:w="7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15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价格室</w:t>
            </w:r>
          </w:p>
        </w:tc>
        <w:tc>
          <w:tcPr>
            <w:tcW w:w="12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现场抽查</w:t>
            </w:r>
          </w:p>
        </w:tc>
        <w:tc>
          <w:tcPr>
            <w:tcW w:w="2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县卫生健康局</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9月</w:t>
            </w:r>
          </w:p>
        </w:tc>
      </w:tr>
    </w:tbl>
    <w:p>
      <w:pPr>
        <w:pStyle w:val="2"/>
        <w:rPr>
          <w:rFonts w:hint="default"/>
          <w:lang w:val="en-US" w:eastAsia="zh-CN"/>
        </w:rPr>
        <w:sectPr>
          <w:pgSz w:w="16838" w:h="11905" w:orient="landscape"/>
          <w:pgMar w:top="1474" w:right="1474" w:bottom="1474" w:left="1474" w:header="851" w:footer="1015" w:gutter="0"/>
          <w:pgNumType w:fmt="decimal"/>
          <w:cols w:space="0" w:num="1"/>
          <w:rtlGutter w:val="0"/>
          <w:docGrid w:linePitch="319" w:charSpace="0"/>
        </w:sectPr>
      </w:pPr>
    </w:p>
    <w:p>
      <w:pPr>
        <w:spacing w:line="240" w:lineRule="auto"/>
        <w:ind w:firstLine="0" w:firstLineChars="0"/>
        <w:jc w:val="left"/>
        <w:rPr>
          <w:rFonts w:hint="default" w:ascii="仿宋" w:hAnsi="仿宋" w:eastAsia="仿宋" w:cs="仿宋"/>
          <w:b w:val="0"/>
          <w:bCs/>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lang w:eastAsia="zh-CN"/>
        </w:rPr>
        <w:t>“</w:t>
      </w:r>
      <w:r>
        <w:rPr>
          <w:rFonts w:hint="eastAsia" w:ascii="方正小标宋简体" w:hAnsi="方正小标宋简体" w:eastAsia="方正小标宋简体" w:cs="方正小标宋简体"/>
          <w:bCs/>
          <w:sz w:val="40"/>
          <w:szCs w:val="40"/>
        </w:rPr>
        <w:t>双随机</w:t>
      </w:r>
      <w:r>
        <w:rPr>
          <w:rFonts w:hint="eastAsia" w:ascii="方正小标宋简体" w:hAnsi="方正小标宋简体" w:eastAsia="方正小标宋简体" w:cs="方正小标宋简体"/>
          <w:sz w:val="40"/>
          <w:szCs w:val="40"/>
          <w:lang w:eastAsia="zh-CN"/>
        </w:rPr>
        <w:t>、一公开</w:t>
      </w:r>
      <w:r>
        <w:rPr>
          <w:rFonts w:hint="eastAsia" w:ascii="方正小标宋简体" w:hAnsi="方正小标宋简体" w:eastAsia="方正小标宋简体" w:cs="方正小标宋简体"/>
          <w:bCs/>
          <w:sz w:val="40"/>
          <w:szCs w:val="40"/>
          <w:lang w:eastAsia="zh-CN"/>
        </w:rPr>
        <w:t>”</w:t>
      </w:r>
      <w:r>
        <w:rPr>
          <w:rFonts w:hint="eastAsia" w:ascii="方正小标宋简体" w:hAnsi="方正小标宋简体" w:eastAsia="方正小标宋简体" w:cs="方正小标宋简体"/>
          <w:bCs/>
          <w:sz w:val="40"/>
          <w:szCs w:val="40"/>
        </w:rPr>
        <w:t>抽查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bCs/>
          <w:sz w:val="40"/>
          <w:szCs w:val="40"/>
        </w:rPr>
        <w:t>执法人员、市场主体选派（抽取）记录单</w:t>
      </w:r>
    </w:p>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bCs/>
          <w:sz w:val="28"/>
          <w:szCs w:val="28"/>
        </w:rPr>
      </w:pPr>
      <w:r>
        <w:rPr>
          <w:rFonts w:hint="default" w:ascii="Times New Roman" w:hAnsi="Times New Roman" w:eastAsia="方正仿宋_GBK" w:cs="Times New Roman"/>
          <w:sz w:val="28"/>
          <w:szCs w:val="28"/>
        </w:rPr>
        <w:t xml:space="preserve">抽查单位：       </w:t>
      </w:r>
      <w:r>
        <w:rPr>
          <w:rFonts w:hint="default" w:ascii="Times New Roman" w:hAnsi="Times New Roman" w:cs="Times New Roman"/>
          <w:sz w:val="28"/>
          <w:szCs w:val="28"/>
          <w:lang w:val="en-US" w:eastAsia="zh-CN"/>
        </w:rPr>
        <w:t xml:space="preserve">         </w:t>
      </w:r>
      <w:r>
        <w:rPr>
          <w:rFonts w:hint="default" w:ascii="Times New Roman" w:hAnsi="Times New Roman" w:eastAsia="方正仿宋_GBK" w:cs="Times New Roman"/>
          <w:sz w:val="28"/>
          <w:szCs w:val="28"/>
        </w:rPr>
        <w:t xml:space="preserve">  实施时间：   </w:t>
      </w:r>
      <w:r>
        <w:rPr>
          <w:rFonts w:hint="default" w:ascii="Times New Roman" w:hAnsi="Times New Roman" w:cs="Times New Roman"/>
          <w:sz w:val="28"/>
          <w:szCs w:val="28"/>
          <w:lang w:val="en-US" w:eastAsia="zh-CN"/>
        </w:rPr>
        <w:t xml:space="preserve">  </w:t>
      </w:r>
      <w:r>
        <w:rPr>
          <w:rFonts w:hint="default" w:ascii="Times New Roman" w:hAnsi="Times New Roman" w:eastAsia="方正仿宋_GBK" w:cs="Times New Roman"/>
          <w:sz w:val="28"/>
          <w:szCs w:val="28"/>
        </w:rPr>
        <w:t xml:space="preserve"> 年   </w:t>
      </w:r>
      <w:r>
        <w:rPr>
          <w:rFonts w:hint="default" w:ascii="Times New Roman" w:hAnsi="Times New Roman" w:cs="Times New Roman"/>
          <w:sz w:val="28"/>
          <w:szCs w:val="28"/>
          <w:lang w:val="en-US" w:eastAsia="zh-CN"/>
        </w:rPr>
        <w:t xml:space="preserve">  </w:t>
      </w:r>
      <w:r>
        <w:rPr>
          <w:rFonts w:hint="default" w:ascii="Times New Roman" w:hAnsi="Times New Roman" w:eastAsia="方正仿宋_GBK" w:cs="Times New Roman"/>
          <w:sz w:val="28"/>
          <w:szCs w:val="28"/>
        </w:rPr>
        <w:t>月</w:t>
      </w:r>
      <w:r>
        <w:rPr>
          <w:rFonts w:hint="default" w:ascii="Times New Roman" w:hAnsi="Times New Roman" w:cs="Times New Roman"/>
          <w:sz w:val="28"/>
          <w:szCs w:val="28"/>
          <w:lang w:val="en-US" w:eastAsia="zh-CN"/>
        </w:rPr>
        <w:t xml:space="preserve">    </w:t>
      </w:r>
      <w:r>
        <w:rPr>
          <w:rFonts w:hint="default" w:ascii="Times New Roman" w:hAnsi="Times New Roman" w:eastAsia="方正仿宋_GBK" w:cs="Times New Roman"/>
          <w:sz w:val="28"/>
          <w:szCs w:val="28"/>
        </w:rPr>
        <w:t xml:space="preserve">  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1204"/>
        <w:gridCol w:w="1676"/>
        <w:gridCol w:w="289"/>
        <w:gridCol w:w="1294"/>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194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随机摇号产生检查人员及其执法证号</w:t>
            </w:r>
          </w:p>
        </w:tc>
        <w:tc>
          <w:tcPr>
            <w:tcW w:w="1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序号</w:t>
            </w:r>
          </w:p>
        </w:tc>
        <w:tc>
          <w:tcPr>
            <w:tcW w:w="19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姓名</w:t>
            </w:r>
          </w:p>
        </w:tc>
        <w:tc>
          <w:tcPr>
            <w:tcW w:w="39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执法证号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194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rPr>
            </w:pPr>
          </w:p>
        </w:tc>
        <w:tc>
          <w:tcPr>
            <w:tcW w:w="1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tc>
        <w:tc>
          <w:tcPr>
            <w:tcW w:w="19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tc>
        <w:tc>
          <w:tcPr>
            <w:tcW w:w="39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194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rPr>
            </w:pPr>
          </w:p>
        </w:tc>
        <w:tc>
          <w:tcPr>
            <w:tcW w:w="1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tc>
        <w:tc>
          <w:tcPr>
            <w:tcW w:w="19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tc>
        <w:tc>
          <w:tcPr>
            <w:tcW w:w="39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194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rPr>
            </w:pPr>
          </w:p>
        </w:tc>
        <w:tc>
          <w:tcPr>
            <w:tcW w:w="1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tc>
        <w:tc>
          <w:tcPr>
            <w:tcW w:w="19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tc>
        <w:tc>
          <w:tcPr>
            <w:tcW w:w="39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194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rPr>
            </w:pPr>
          </w:p>
        </w:tc>
        <w:tc>
          <w:tcPr>
            <w:tcW w:w="1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tc>
        <w:tc>
          <w:tcPr>
            <w:tcW w:w="19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tc>
        <w:tc>
          <w:tcPr>
            <w:tcW w:w="39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194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rPr>
            </w:pPr>
          </w:p>
        </w:tc>
        <w:tc>
          <w:tcPr>
            <w:tcW w:w="1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tc>
        <w:tc>
          <w:tcPr>
            <w:tcW w:w="19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tc>
        <w:tc>
          <w:tcPr>
            <w:tcW w:w="39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194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随机“摇号”产生检查对象名称及地址</w:t>
            </w:r>
          </w:p>
        </w:tc>
        <w:tc>
          <w:tcPr>
            <w:tcW w:w="1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序号</w:t>
            </w:r>
          </w:p>
        </w:tc>
        <w:tc>
          <w:tcPr>
            <w:tcW w:w="19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名称</w:t>
            </w:r>
          </w:p>
        </w:tc>
        <w:tc>
          <w:tcPr>
            <w:tcW w:w="39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194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rPr>
            </w:pPr>
          </w:p>
        </w:tc>
        <w:tc>
          <w:tcPr>
            <w:tcW w:w="1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tc>
        <w:tc>
          <w:tcPr>
            <w:tcW w:w="19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tc>
        <w:tc>
          <w:tcPr>
            <w:tcW w:w="39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194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rPr>
            </w:pPr>
          </w:p>
        </w:tc>
        <w:tc>
          <w:tcPr>
            <w:tcW w:w="1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tc>
        <w:tc>
          <w:tcPr>
            <w:tcW w:w="19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tc>
        <w:tc>
          <w:tcPr>
            <w:tcW w:w="39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194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rPr>
            </w:pPr>
          </w:p>
        </w:tc>
        <w:tc>
          <w:tcPr>
            <w:tcW w:w="1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tc>
        <w:tc>
          <w:tcPr>
            <w:tcW w:w="19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tc>
        <w:tc>
          <w:tcPr>
            <w:tcW w:w="39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194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rPr>
            </w:pPr>
          </w:p>
        </w:tc>
        <w:tc>
          <w:tcPr>
            <w:tcW w:w="1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tc>
        <w:tc>
          <w:tcPr>
            <w:tcW w:w="19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tc>
        <w:tc>
          <w:tcPr>
            <w:tcW w:w="39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jc w:val="center"/>
        </w:trPr>
        <w:tc>
          <w:tcPr>
            <w:tcW w:w="194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sz w:val="28"/>
                <w:szCs w:val="28"/>
              </w:rPr>
            </w:pPr>
          </w:p>
        </w:tc>
        <w:tc>
          <w:tcPr>
            <w:tcW w:w="1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tc>
        <w:tc>
          <w:tcPr>
            <w:tcW w:w="19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tc>
        <w:tc>
          <w:tcPr>
            <w:tcW w:w="39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jc w:val="center"/>
        </w:trPr>
        <w:tc>
          <w:tcPr>
            <w:tcW w:w="19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实施抽查</w:t>
            </w:r>
          </w:p>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单位意见</w:t>
            </w:r>
          </w:p>
        </w:tc>
        <w:tc>
          <w:tcPr>
            <w:tcW w:w="715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textAlignment w:val="auto"/>
              <w:outlineLvl w:val="9"/>
              <w:rPr>
                <w:rFonts w:hint="default"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19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“摇号”经办人签字</w:t>
            </w:r>
          </w:p>
        </w:tc>
        <w:tc>
          <w:tcPr>
            <w:tcW w:w="28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tc>
        <w:tc>
          <w:tcPr>
            <w:tcW w:w="158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现场监督人员签字</w:t>
            </w:r>
          </w:p>
        </w:tc>
        <w:tc>
          <w:tcPr>
            <w:tcW w:w="26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8"/>
                <w:szCs w:val="28"/>
              </w:rPr>
            </w:pPr>
          </w:p>
        </w:tc>
      </w:tr>
    </w:tbl>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right="0" w:rightChars="0"/>
        <w:jc w:val="both"/>
        <w:textAlignment w:val="auto"/>
        <w:outlineLvl w:val="9"/>
        <w:rPr>
          <w:rFonts w:hint="default" w:ascii="Times New Roman" w:hAnsi="Times New Roman" w:eastAsia="方正黑体_GBK" w:cs="Times New Roman"/>
          <w:lang w:val="en-US" w:eastAsia="zh-CN"/>
        </w:rPr>
        <w:sectPr>
          <w:footerReference r:id="rId5" w:type="default"/>
          <w:pgSz w:w="11905" w:h="16838"/>
          <w:pgMar w:top="1474" w:right="1474" w:bottom="1474" w:left="1474" w:header="851" w:footer="1015" w:gutter="0"/>
          <w:pgNumType w:fmt="decimal"/>
          <w:cols w:space="0" w:num="1"/>
          <w:rtlGutter w:val="0"/>
          <w:docGrid w:linePitch="319" w:charSpace="0"/>
        </w:sectPr>
      </w:pP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pStyle w:val="2"/>
        <w:keepNext/>
        <w:keepLines/>
        <w:pageBreakBefore w:val="0"/>
        <w:widowControl w:val="0"/>
        <w:kinsoku/>
        <w:wordWrap/>
        <w:overflowPunct/>
        <w:topLinePunct w:val="0"/>
        <w:autoSpaceDE/>
        <w:autoSpaceDN/>
        <w:bidi w:val="0"/>
        <w:adjustRightInd/>
        <w:snapToGrid/>
        <w:spacing w:before="0" w:after="0" w:line="24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sz w:val="40"/>
          <w:szCs w:val="40"/>
          <w:lang w:eastAsia="zh-CN"/>
        </w:rPr>
        <w:t>“</w:t>
      </w:r>
      <w:r>
        <w:rPr>
          <w:rFonts w:hint="eastAsia" w:ascii="方正小标宋简体" w:hAnsi="方正小标宋简体" w:eastAsia="方正小标宋简体" w:cs="方正小标宋简体"/>
          <w:sz w:val="40"/>
          <w:szCs w:val="40"/>
        </w:rPr>
        <w:t>双随机</w:t>
      </w:r>
      <w:r>
        <w:rPr>
          <w:rFonts w:hint="eastAsia" w:ascii="方正小标宋简体" w:hAnsi="方正小标宋简体" w:eastAsia="方正小标宋简体" w:cs="方正小标宋简体"/>
          <w:sz w:val="40"/>
          <w:szCs w:val="40"/>
          <w:lang w:eastAsia="zh-CN"/>
        </w:rPr>
        <w:t>、一公开”</w:t>
      </w:r>
      <w:r>
        <w:rPr>
          <w:rFonts w:hint="eastAsia" w:ascii="方正小标宋简体" w:hAnsi="方正小标宋简体" w:eastAsia="方正小标宋简体" w:cs="方正小标宋简体"/>
          <w:sz w:val="40"/>
          <w:szCs w:val="40"/>
        </w:rPr>
        <w:t>抽查情况记录表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xml:space="preserve">                    </w:t>
      </w:r>
      <w:r>
        <w:rPr>
          <w:rFonts w:hint="default" w:ascii="Times New Roman" w:hAnsi="Times New Roman" w:cs="Times New Roman"/>
          <w:sz w:val="21"/>
          <w:szCs w:val="21"/>
          <w:lang w:val="en-US" w:eastAsia="zh-CN"/>
        </w:rPr>
        <w:t xml:space="preserve">       </w:t>
      </w:r>
      <w:r>
        <w:rPr>
          <w:rFonts w:hint="default" w:ascii="Times New Roman" w:hAnsi="Times New Roman" w:eastAsia="方正仿宋_GBK" w:cs="Times New Roman"/>
          <w:sz w:val="21"/>
          <w:szCs w:val="21"/>
        </w:rPr>
        <w:t xml:space="preserve">  </w:t>
      </w:r>
      <w:r>
        <w:rPr>
          <w:rFonts w:hint="default" w:ascii="Times New Roman" w:hAnsi="Times New Roman" w:cs="Times New Roman"/>
          <w:sz w:val="21"/>
          <w:szCs w:val="21"/>
          <w:lang w:val="en-US" w:eastAsia="zh-CN"/>
        </w:rPr>
        <w:t xml:space="preserve">       </w:t>
      </w:r>
      <w:r>
        <w:rPr>
          <w:rFonts w:hint="default" w:ascii="Times New Roman" w:hAnsi="Times New Roman" w:eastAsia="方正仿宋_GBK" w:cs="Times New Roman"/>
          <w:sz w:val="21"/>
          <w:szCs w:val="21"/>
        </w:rPr>
        <w:t xml:space="preserve">      抽查时间：    年 </w:t>
      </w:r>
      <w:r>
        <w:rPr>
          <w:rFonts w:hint="default" w:ascii="Times New Roman" w:hAnsi="Times New Roman" w:cs="Times New Roman"/>
          <w:sz w:val="21"/>
          <w:szCs w:val="21"/>
          <w:lang w:val="en-US" w:eastAsia="zh-CN"/>
        </w:rPr>
        <w:t xml:space="preserve">   </w:t>
      </w:r>
      <w:r>
        <w:rPr>
          <w:rFonts w:hint="default" w:ascii="Times New Roman" w:hAnsi="Times New Roman" w:eastAsia="方正仿宋_GBK" w:cs="Times New Roman"/>
          <w:sz w:val="21"/>
          <w:szCs w:val="21"/>
        </w:rPr>
        <w:t xml:space="preserve"> 月  </w:t>
      </w:r>
      <w:r>
        <w:rPr>
          <w:rFonts w:hint="default" w:ascii="Times New Roman" w:hAnsi="Times New Roman" w:cs="Times New Roman"/>
          <w:sz w:val="21"/>
          <w:szCs w:val="21"/>
          <w:lang w:val="en-US" w:eastAsia="zh-CN"/>
        </w:rPr>
        <w:t xml:space="preserve">   </w:t>
      </w:r>
      <w:r>
        <w:rPr>
          <w:rFonts w:hint="default" w:ascii="Times New Roman" w:hAnsi="Times New Roman" w:eastAsia="方正仿宋_GBK" w:cs="Times New Roman"/>
          <w:sz w:val="21"/>
          <w:szCs w:val="21"/>
        </w:rPr>
        <w:t>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922"/>
        <w:gridCol w:w="2320"/>
        <w:gridCol w:w="91"/>
        <w:gridCol w:w="1221"/>
        <w:gridCol w:w="693"/>
        <w:gridCol w:w="422"/>
        <w:gridCol w:w="995"/>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02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市场主体名称</w:t>
            </w:r>
          </w:p>
        </w:tc>
        <w:tc>
          <w:tcPr>
            <w:tcW w:w="7091"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2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400" w:lineRule="exact"/>
              <w:ind w:left="-64" w:leftChars="-20" w:right="-64" w:rightChars="-2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注册号或统一社会信用代码</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400" w:lineRule="exact"/>
              <w:ind w:left="-64" w:leftChars="-20" w:right="-64" w:rightChars="-20" w:firstLine="0" w:firstLineChars="0"/>
              <w:jc w:val="center"/>
              <w:textAlignment w:val="auto"/>
              <w:outlineLvl w:val="9"/>
              <w:rPr>
                <w:rFonts w:hint="default" w:ascii="Times New Roman" w:hAnsi="Times New Roman" w:eastAsia="方正仿宋_GBK" w:cs="Times New Roman"/>
                <w:sz w:val="21"/>
                <w:szCs w:val="21"/>
              </w:rPr>
            </w:pPr>
          </w:p>
        </w:tc>
        <w:tc>
          <w:tcPr>
            <w:tcW w:w="200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400" w:lineRule="exact"/>
              <w:ind w:left="-64" w:leftChars="-20" w:right="-64" w:rightChars="-2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法定代表人</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400" w:lineRule="exact"/>
              <w:ind w:left="-64" w:leftChars="-20" w:right="-64" w:rightChars="-2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（负责人）</w:t>
            </w:r>
          </w:p>
        </w:tc>
        <w:tc>
          <w:tcPr>
            <w:tcW w:w="276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02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主体类型</w:t>
            </w:r>
          </w:p>
        </w:tc>
        <w:tc>
          <w:tcPr>
            <w:tcW w:w="23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p>
        </w:tc>
        <w:tc>
          <w:tcPr>
            <w:tcW w:w="200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联系电话</w:t>
            </w:r>
          </w:p>
        </w:tc>
        <w:tc>
          <w:tcPr>
            <w:tcW w:w="276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02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经营范围</w:t>
            </w:r>
          </w:p>
        </w:tc>
        <w:tc>
          <w:tcPr>
            <w:tcW w:w="7091"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02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住所（经营场所）</w:t>
            </w:r>
          </w:p>
        </w:tc>
        <w:tc>
          <w:tcPr>
            <w:tcW w:w="7091"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443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检查项目</w:t>
            </w:r>
          </w:p>
        </w:tc>
        <w:tc>
          <w:tcPr>
            <w:tcW w:w="12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400" w:lineRule="exact"/>
              <w:ind w:left="-64" w:leftChars="-20" w:right="-64" w:rightChars="-2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是否涉及该检查项目</w:t>
            </w:r>
          </w:p>
        </w:tc>
        <w:tc>
          <w:tcPr>
            <w:tcW w:w="11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400" w:lineRule="exact"/>
              <w:ind w:left="-64" w:leftChars="-20" w:right="-64" w:rightChars="-2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下达</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400" w:lineRule="exact"/>
              <w:ind w:left="-64" w:leftChars="-20" w:right="-64" w:rightChars="-2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责改</w:t>
            </w:r>
          </w:p>
        </w:tc>
        <w:tc>
          <w:tcPr>
            <w:tcW w:w="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400" w:lineRule="exact"/>
              <w:ind w:left="-64" w:leftChars="-20" w:right="-64" w:rightChars="-2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是否</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400" w:lineRule="exact"/>
              <w:ind w:left="-64" w:leftChars="-20" w:right="-64" w:rightChars="-2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责改</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400" w:lineRule="exact"/>
              <w:ind w:left="-64" w:leftChars="-20" w:right="-64" w:rightChars="-2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检查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400" w:lineRule="exact"/>
              <w:ind w:left="-64" w:leftChars="-20" w:right="-64" w:rightChars="-2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0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p>
        </w:tc>
        <w:tc>
          <w:tcPr>
            <w:tcW w:w="333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right="-64" w:rightChars="-2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是□否□</w:t>
            </w:r>
          </w:p>
        </w:tc>
        <w:tc>
          <w:tcPr>
            <w:tcW w:w="11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是□否□</w:t>
            </w:r>
          </w:p>
        </w:tc>
        <w:tc>
          <w:tcPr>
            <w:tcW w:w="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是□否□</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0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p>
        </w:tc>
        <w:tc>
          <w:tcPr>
            <w:tcW w:w="333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是□否□</w:t>
            </w:r>
          </w:p>
        </w:tc>
        <w:tc>
          <w:tcPr>
            <w:tcW w:w="11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是□否□</w:t>
            </w:r>
          </w:p>
        </w:tc>
        <w:tc>
          <w:tcPr>
            <w:tcW w:w="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是□否□</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0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p>
        </w:tc>
        <w:tc>
          <w:tcPr>
            <w:tcW w:w="333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是□否□</w:t>
            </w:r>
          </w:p>
        </w:tc>
        <w:tc>
          <w:tcPr>
            <w:tcW w:w="11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是□否□</w:t>
            </w:r>
          </w:p>
        </w:tc>
        <w:tc>
          <w:tcPr>
            <w:tcW w:w="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是□否□</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0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p>
        </w:tc>
        <w:tc>
          <w:tcPr>
            <w:tcW w:w="333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是□否□</w:t>
            </w:r>
          </w:p>
        </w:tc>
        <w:tc>
          <w:tcPr>
            <w:tcW w:w="11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是□否□</w:t>
            </w:r>
          </w:p>
        </w:tc>
        <w:tc>
          <w:tcPr>
            <w:tcW w:w="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是□否□</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10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p>
        </w:tc>
        <w:tc>
          <w:tcPr>
            <w:tcW w:w="333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是□否□</w:t>
            </w:r>
          </w:p>
        </w:tc>
        <w:tc>
          <w:tcPr>
            <w:tcW w:w="11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是□否□</w:t>
            </w:r>
          </w:p>
        </w:tc>
        <w:tc>
          <w:tcPr>
            <w:tcW w:w="9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是□否□</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202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检查情况</w:t>
            </w:r>
          </w:p>
        </w:tc>
        <w:tc>
          <w:tcPr>
            <w:tcW w:w="7091"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02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抽查单位处理意见</w:t>
            </w:r>
          </w:p>
        </w:tc>
        <w:tc>
          <w:tcPr>
            <w:tcW w:w="7091"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28"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400" w:lineRule="exact"/>
              <w:ind w:left="-64" w:leftChars="-20" w:right="-64" w:rightChars="-2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被检查对象负责人（签字）</w:t>
            </w:r>
          </w:p>
        </w:tc>
        <w:tc>
          <w:tcPr>
            <w:tcW w:w="7091" w:type="dxa"/>
            <w:gridSpan w:val="7"/>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202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400" w:lineRule="exact"/>
              <w:ind w:left="-64" w:leftChars="-20" w:right="-64" w:rightChars="-2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执法检查人员</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400" w:lineRule="exact"/>
              <w:ind w:left="-64" w:leftChars="-20" w:right="-64" w:rightChars="-20" w:firstLine="0" w:firstLineChars="0"/>
              <w:jc w:val="center"/>
              <w:textAlignment w:val="auto"/>
              <w:outlineLvl w:val="9"/>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（签字）：</w:t>
            </w:r>
          </w:p>
        </w:tc>
        <w:tc>
          <w:tcPr>
            <w:tcW w:w="7091"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64" w:leftChars="-20" w:right="-64" w:rightChars="-20"/>
              <w:jc w:val="center"/>
              <w:textAlignment w:val="auto"/>
              <w:outlineLvl w:val="9"/>
              <w:rPr>
                <w:rFonts w:hint="default" w:ascii="Times New Roman" w:hAnsi="Times New Roman" w:eastAsia="方正仿宋_GBK" w:cs="Times New Roman"/>
                <w:sz w:val="21"/>
                <w:szCs w:val="21"/>
              </w:rPr>
            </w:pPr>
          </w:p>
        </w:tc>
      </w:tr>
    </w:tbl>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right="0" w:rightChars="0"/>
        <w:jc w:val="both"/>
        <w:textAlignment w:val="auto"/>
        <w:outlineLvl w:val="9"/>
        <w:rPr>
          <w:rFonts w:hint="eastAsia" w:ascii="方正仿宋_GBK" w:hAnsi="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center"/>
        <w:textAlignment w:val="auto"/>
        <w:outlineLvl w:val="9"/>
        <w:rPr>
          <w:rFonts w:hint="eastAsia"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center"/>
        <w:textAlignment w:val="auto"/>
        <w:outlineLvl w:val="9"/>
        <w:rPr>
          <w:rFonts w:hint="eastAsia" w:ascii="Times New Roman" w:hAnsi="Times New Roman" w:eastAsia="方正小标宋_GBK" w:cs="Times New Roman"/>
          <w:sz w:val="44"/>
          <w:szCs w:val="44"/>
          <w:lang w:eastAsia="zh-CN"/>
        </w:rPr>
        <w:sectPr>
          <w:pgSz w:w="11905" w:h="16838"/>
          <w:pgMar w:top="1474" w:right="1474" w:bottom="1474" w:left="1474" w:header="851" w:footer="1015" w:gutter="0"/>
          <w:cols w:space="0" w:num="1"/>
          <w:rtlGutter w:val="0"/>
          <w:docGrid w:linePitch="312" w:charSpace="0"/>
        </w:sectPr>
      </w:pP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eastAsia="zh-CN"/>
        </w:rPr>
        <w:t>“</w:t>
      </w:r>
      <w:r>
        <w:rPr>
          <w:rFonts w:hint="eastAsia" w:ascii="方正小标宋简体" w:hAnsi="方正小标宋简体" w:eastAsia="方正小标宋简体" w:cs="方正小标宋简体"/>
          <w:sz w:val="40"/>
          <w:szCs w:val="40"/>
        </w:rPr>
        <w:t>双随机</w:t>
      </w:r>
      <w:r>
        <w:rPr>
          <w:rFonts w:hint="eastAsia" w:ascii="方正小标宋简体" w:hAnsi="方正小标宋简体" w:eastAsia="方正小标宋简体" w:cs="方正小标宋简体"/>
          <w:sz w:val="40"/>
          <w:szCs w:val="40"/>
          <w:lang w:eastAsia="zh-CN"/>
        </w:rPr>
        <w:t>、一公开”</w:t>
      </w:r>
      <w:r>
        <w:rPr>
          <w:rFonts w:hint="eastAsia" w:ascii="方正小标宋简体" w:hAnsi="方正小标宋简体" w:eastAsia="方正小标宋简体" w:cs="方正小标宋简体"/>
          <w:sz w:val="40"/>
          <w:szCs w:val="40"/>
        </w:rPr>
        <w:t>抽查情况汇总表</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textAlignment w:val="auto"/>
        <w:outlineLvl w:val="9"/>
        <w:rPr>
          <w:rFonts w:hint="default" w:ascii="Times New Roman" w:hAnsi="Times New Roman" w:eastAsia="方正仿宋_GBK" w:cs="Times New Roman"/>
          <w:sz w:val="28"/>
          <w:szCs w:val="28"/>
        </w:rPr>
      </w:pPr>
      <w:r>
        <w:rPr>
          <w:rFonts w:hint="default" w:ascii="Times New Roman" w:hAnsi="Times New Roman" w:eastAsia="仿宋_GB2312" w:cs="Times New Roman"/>
          <w:sz w:val="30"/>
          <w:szCs w:val="30"/>
        </w:rPr>
        <w:t xml:space="preserve">    </w:t>
      </w:r>
      <w:r>
        <w:rPr>
          <w:rFonts w:hint="default" w:ascii="Times New Roman" w:hAnsi="Times New Roman" w:eastAsia="方正仿宋_GBK" w:cs="Times New Roman"/>
          <w:sz w:val="21"/>
          <w:szCs w:val="21"/>
        </w:rPr>
        <w:t xml:space="preserve">                                       </w:t>
      </w:r>
      <w:r>
        <w:rPr>
          <w:rFonts w:hint="default" w:ascii="Times New Roman" w:hAnsi="Times New Roman" w:cs="Times New Roman"/>
          <w:sz w:val="21"/>
          <w:szCs w:val="21"/>
          <w:lang w:val="en-US" w:eastAsia="zh-CN"/>
        </w:rPr>
        <w:t xml:space="preserve">              </w:t>
      </w:r>
      <w:r>
        <w:rPr>
          <w:rFonts w:hint="default" w:ascii="Times New Roman" w:hAnsi="Times New Roman" w:eastAsia="方正仿宋_GBK" w:cs="Times New Roman"/>
          <w:sz w:val="21"/>
          <w:szCs w:val="21"/>
        </w:rPr>
        <w:t xml:space="preserve">              </w:t>
      </w:r>
      <w:r>
        <w:rPr>
          <w:rFonts w:hint="default" w:ascii="Times New Roman" w:hAnsi="Times New Roman" w:eastAsia="方正仿宋_GBK" w:cs="Times New Roman"/>
          <w:sz w:val="28"/>
          <w:szCs w:val="28"/>
        </w:rPr>
        <w:t xml:space="preserve">   填报时间：    </w:t>
      </w:r>
      <w:r>
        <w:rPr>
          <w:rFonts w:hint="default" w:ascii="Times New Roman" w:hAnsi="Times New Roman" w:cs="Times New Roman"/>
          <w:sz w:val="28"/>
          <w:szCs w:val="28"/>
          <w:lang w:val="en-US" w:eastAsia="zh-CN"/>
        </w:rPr>
        <w:t xml:space="preserve">   </w:t>
      </w:r>
      <w:r>
        <w:rPr>
          <w:rFonts w:hint="default" w:ascii="Times New Roman" w:hAnsi="Times New Roman" w:eastAsia="方正仿宋_GBK" w:cs="Times New Roman"/>
          <w:sz w:val="28"/>
          <w:szCs w:val="28"/>
        </w:rPr>
        <w:t xml:space="preserve">年   </w:t>
      </w:r>
      <w:r>
        <w:rPr>
          <w:rFonts w:hint="default" w:ascii="Times New Roman" w:hAnsi="Times New Roman" w:cs="Times New Roman"/>
          <w:sz w:val="28"/>
          <w:szCs w:val="28"/>
          <w:lang w:val="en-US" w:eastAsia="zh-CN"/>
        </w:rPr>
        <w:t xml:space="preserve">  </w:t>
      </w:r>
      <w:r>
        <w:rPr>
          <w:rFonts w:hint="default" w:ascii="Times New Roman" w:hAnsi="Times New Roman" w:eastAsia="方正仿宋_GBK" w:cs="Times New Roman"/>
          <w:sz w:val="28"/>
          <w:szCs w:val="28"/>
        </w:rPr>
        <w:t xml:space="preserve"> 月  </w:t>
      </w:r>
      <w:r>
        <w:rPr>
          <w:rFonts w:hint="default" w:ascii="Times New Roman" w:hAnsi="Times New Roman" w:cs="Times New Roman"/>
          <w:sz w:val="28"/>
          <w:szCs w:val="28"/>
          <w:lang w:val="en-US" w:eastAsia="zh-CN"/>
        </w:rPr>
        <w:t xml:space="preserve">  </w:t>
      </w:r>
      <w:r>
        <w:rPr>
          <w:rFonts w:hint="default" w:ascii="Times New Roman" w:hAnsi="Times New Roman" w:eastAsia="方正仿宋_GBK" w:cs="Times New Roman"/>
          <w:sz w:val="28"/>
          <w:szCs w:val="28"/>
        </w:rPr>
        <w:t xml:space="preserve"> 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2100"/>
        <w:gridCol w:w="1948"/>
        <w:gridCol w:w="1436"/>
        <w:gridCol w:w="1732"/>
        <w:gridCol w:w="1858"/>
        <w:gridCol w:w="2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28"/>
                <w:szCs w:val="28"/>
              </w:rPr>
            </w:pPr>
            <w:r>
              <w:rPr>
                <w:rFonts w:hint="eastAsia" w:ascii="方正小标宋简体" w:hAnsi="方正小标宋简体" w:eastAsia="方正小标宋简体" w:cs="方正小标宋简体"/>
                <w:b w:val="0"/>
                <w:bCs/>
                <w:sz w:val="28"/>
                <w:szCs w:val="28"/>
              </w:rPr>
              <w:t>序号</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28"/>
                <w:szCs w:val="28"/>
              </w:rPr>
            </w:pPr>
            <w:r>
              <w:rPr>
                <w:rFonts w:hint="eastAsia" w:ascii="方正小标宋简体" w:hAnsi="方正小标宋简体" w:eastAsia="方正小标宋简体" w:cs="方正小标宋简体"/>
                <w:b w:val="0"/>
                <w:bCs/>
                <w:sz w:val="28"/>
                <w:szCs w:val="28"/>
              </w:rPr>
              <w:t>市场主体名称</w:t>
            </w:r>
          </w:p>
        </w:tc>
        <w:tc>
          <w:tcPr>
            <w:tcW w:w="19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28"/>
                <w:szCs w:val="28"/>
              </w:rPr>
            </w:pPr>
            <w:r>
              <w:rPr>
                <w:rFonts w:hint="eastAsia" w:ascii="方正小标宋简体" w:hAnsi="方正小标宋简体" w:eastAsia="方正小标宋简体" w:cs="方正小标宋简体"/>
                <w:b w:val="0"/>
                <w:bCs/>
                <w:sz w:val="28"/>
                <w:szCs w:val="28"/>
              </w:rPr>
              <w:t>市场主体地址</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28"/>
                <w:szCs w:val="28"/>
              </w:rPr>
            </w:pPr>
            <w:r>
              <w:rPr>
                <w:rFonts w:hint="eastAsia" w:ascii="方正小标宋简体" w:hAnsi="方正小标宋简体" w:eastAsia="方正小标宋简体" w:cs="方正小标宋简体"/>
                <w:b w:val="0"/>
                <w:bCs/>
                <w:sz w:val="28"/>
                <w:szCs w:val="28"/>
              </w:rPr>
              <w:t>检查人员</w:t>
            </w: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28"/>
                <w:szCs w:val="28"/>
              </w:rPr>
            </w:pPr>
            <w:r>
              <w:rPr>
                <w:rFonts w:hint="eastAsia" w:ascii="方正小标宋简体" w:hAnsi="方正小标宋简体" w:eastAsia="方正小标宋简体" w:cs="方正小标宋简体"/>
                <w:b w:val="0"/>
                <w:bCs/>
                <w:sz w:val="28"/>
                <w:szCs w:val="28"/>
              </w:rPr>
              <w:t xml:space="preserve">存在问题 </w:t>
            </w:r>
          </w:p>
        </w:tc>
        <w:tc>
          <w:tcPr>
            <w:tcW w:w="18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28"/>
                <w:szCs w:val="28"/>
              </w:rPr>
            </w:pPr>
            <w:r>
              <w:rPr>
                <w:rFonts w:hint="eastAsia" w:ascii="方正小标宋简体" w:hAnsi="方正小标宋简体" w:eastAsia="方正小标宋简体" w:cs="方正小标宋简体"/>
                <w:b w:val="0"/>
                <w:bCs/>
                <w:sz w:val="28"/>
                <w:szCs w:val="28"/>
              </w:rPr>
              <w:t>结果公示</w:t>
            </w:r>
          </w:p>
        </w:tc>
        <w:tc>
          <w:tcPr>
            <w:tcW w:w="26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28"/>
                <w:szCs w:val="28"/>
              </w:rPr>
            </w:pPr>
            <w:r>
              <w:rPr>
                <w:rFonts w:hint="eastAsia" w:ascii="方正小标宋简体" w:hAnsi="方正小标宋简体" w:eastAsia="方正小标宋简体" w:cs="方正小标宋简体"/>
                <w:b w:val="0"/>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9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8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261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9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8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261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9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8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261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9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8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261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9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8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261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9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8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261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9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8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261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9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8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261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jc w:val="center"/>
        </w:trPr>
        <w:tc>
          <w:tcPr>
            <w:tcW w:w="10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2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9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7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18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c>
          <w:tcPr>
            <w:tcW w:w="261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sz w:val="21"/>
                <w:szCs w:val="21"/>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lang w:val="en-US" w:eastAsia="zh-CN"/>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DCA18F"/>
    <w:multiLevelType w:val="singleLevel"/>
    <w:tmpl w:val="9DDCA18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9E2A8F"/>
    <w:rsid w:val="4A600357"/>
    <w:rsid w:val="629E2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cs="Times New Roman"/>
      <w:b/>
      <w:sz w:val="32"/>
    </w:rPr>
  </w:style>
  <w:style w:type="character" w:default="1" w:styleId="5">
    <w:name w:val="Default Paragraph Font"/>
    <w:link w:val="6"/>
    <w:semiHidden/>
    <w:qFormat/>
    <w:uiPriority w:val="0"/>
    <w:rPr>
      <w:rFonts w:ascii="Calibri" w:hAnsi="Calibri" w:eastAsia="宋体" w:cs="Times New Roman"/>
      <w:sz w:val="21"/>
    </w:rPr>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 Char Char Char Char Char Char Char"/>
    <w:basedOn w:val="1"/>
    <w:link w:val="5"/>
    <w:qFormat/>
    <w:uiPriority w:val="0"/>
    <w:rPr>
      <w:rFonts w:ascii="Calibri" w:hAnsi="Calibri" w:eastAsia="宋体" w:cs="Times New Roman"/>
      <w:sz w:val="21"/>
    </w:rPr>
  </w:style>
  <w:style w:type="character" w:styleId="7">
    <w:name w:val="Strong"/>
    <w:basedOn w:val="5"/>
    <w:qFormat/>
    <w:uiPriority w:val="0"/>
    <w:rPr>
      <w:rFonts w:ascii="Times New Roman" w:hAnsi="Times New Roman" w:eastAsia="宋体" w:cs="Times New Roman"/>
      <w:b/>
    </w:rPr>
  </w:style>
  <w:style w:type="paragraph" w:customStyle="1" w:styleId="8">
    <w:name w:val="p0"/>
    <w:basedOn w:val="1"/>
    <w:qFormat/>
    <w:uiPriority w:val="0"/>
    <w:pPr>
      <w:widowControl/>
    </w:pPr>
    <w:rPr>
      <w:kern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2020-04-24T01:18:00Z</dcterms:created>
  <dc:creator>许利峰</dc:creator>
  <cp:lastModifiedBy>。</cp:lastModifiedBy>
  <dcterms:modified xsi:type="dcterms:W3CDTF">2020-11-30T08:01:33Z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