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998" w:type="dxa"/>
        <w:tblInd w:w="12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1050"/>
        <w:gridCol w:w="1210"/>
        <w:gridCol w:w="1240"/>
        <w:gridCol w:w="1282"/>
        <w:gridCol w:w="1340"/>
        <w:gridCol w:w="1325"/>
        <w:gridCol w:w="1240"/>
        <w:gridCol w:w="1282"/>
        <w:gridCol w:w="1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2" w:hRule="atLeast"/>
        </w:trPr>
        <w:tc>
          <w:tcPr>
            <w:tcW w:w="13998" w:type="dxa"/>
            <w:gridSpan w:val="10"/>
            <w:tcBorders>
              <w:top w:val="nil"/>
              <w:left w:val="nil"/>
              <w:bottom w:val="single" w:color="auto" w:sz="4" w:space="0"/>
              <w:right w:val="nil"/>
            </w:tcBorders>
          </w:tcPr>
          <w:p>
            <w:pPr>
              <w:ind w:left="10360" w:hanging="10360" w:hangingChars="3700"/>
              <w:rPr>
                <w:rFonts w:hint="eastAsia"/>
                <w:sz w:val="28"/>
                <w:szCs w:val="28"/>
                <w:vertAlign w:val="baseline"/>
                <w:lang w:val="en-US" w:eastAsia="zh-CN"/>
              </w:rPr>
            </w:pPr>
            <w:r>
              <w:rPr>
                <w:rFonts w:hint="eastAsia"/>
                <w:sz w:val="28"/>
                <w:szCs w:val="28"/>
                <w:vertAlign w:val="baseline"/>
                <w:lang w:val="en-US" w:eastAsia="zh-CN"/>
              </w:rPr>
              <w:t xml:space="preserve">附件1                  </w:t>
            </w:r>
          </w:p>
          <w:p>
            <w:pPr>
              <w:ind w:left="11830" w:leftChars="1976" w:hanging="7680" w:hangingChars="2400"/>
              <w:rPr>
                <w:rFonts w:hint="eastAsia"/>
                <w:sz w:val="28"/>
                <w:szCs w:val="28"/>
                <w:vertAlign w:val="baseline"/>
                <w:lang w:val="en-US" w:eastAsia="zh-CN"/>
              </w:rPr>
            </w:pPr>
            <w:r>
              <w:rPr>
                <w:rFonts w:hint="eastAsia"/>
                <w:sz w:val="32"/>
                <w:szCs w:val="32"/>
                <w:vertAlign w:val="baseline"/>
                <w:lang w:val="en-US" w:eastAsia="zh-CN"/>
              </w:rPr>
              <w:t>宁夏电网销售电价表</w:t>
            </w:r>
            <w:r>
              <w:rPr>
                <w:rFonts w:hint="eastAsia"/>
                <w:sz w:val="28"/>
                <w:szCs w:val="28"/>
                <w:vertAlign w:val="baseline"/>
                <w:lang w:val="en-US" w:eastAsia="zh-CN"/>
              </w:rPr>
              <w:t>（自2019年4月1日起执行）</w:t>
            </w:r>
          </w:p>
          <w:p>
            <w:pPr>
              <w:ind w:left="10360" w:hanging="10360" w:hangingChars="3700"/>
              <w:rPr>
                <w:rFonts w:hint="default"/>
                <w:sz w:val="28"/>
                <w:szCs w:val="28"/>
                <w:vertAlign w:val="baseline"/>
                <w:lang w:val="en-US" w:eastAsia="zh-CN"/>
              </w:rPr>
            </w:pPr>
            <w:r>
              <w:rPr>
                <w:rFonts w:hint="eastAsia"/>
                <w:sz w:val="28"/>
                <w:szCs w:val="28"/>
                <w:vertAlign w:val="baseline"/>
                <w:lang w:val="en-US" w:eastAsia="zh-CN"/>
              </w:rPr>
              <w:t xml:space="preserve">                                                                              单位：元/千瓦时(含税）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trPr>
        <w:tc>
          <w:tcPr>
            <w:tcW w:w="3984" w:type="dxa"/>
            <w:gridSpan w:val="2"/>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用电分类</w:t>
            </w:r>
          </w:p>
        </w:tc>
        <w:tc>
          <w:tcPr>
            <w:tcW w:w="7637" w:type="dxa"/>
            <w:gridSpan w:val="6"/>
            <w:tcBorders>
              <w:top w:val="single" w:color="auto" w:sz="4" w:space="0"/>
              <w:bottom w:val="single" w:color="auto" w:sz="4" w:space="0"/>
            </w:tcBorders>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电度电价</w:t>
            </w:r>
          </w:p>
        </w:tc>
        <w:tc>
          <w:tcPr>
            <w:tcW w:w="2377" w:type="dxa"/>
            <w:gridSpan w:val="2"/>
            <w:tcBorders>
              <w:top w:val="single" w:color="auto" w:sz="4" w:space="0"/>
              <w:bottom w:val="single" w:color="auto" w:sz="4" w:space="0"/>
            </w:tcBorders>
            <w:vAlign w:val="center"/>
          </w:tcPr>
          <w:p>
            <w:pPr>
              <w:ind w:firstLine="750" w:firstLineChars="500"/>
              <w:jc w:val="both"/>
              <w:rPr>
                <w:rFonts w:hint="eastAsia" w:eastAsiaTheme="minorEastAsia"/>
                <w:sz w:val="15"/>
                <w:szCs w:val="15"/>
                <w:vertAlign w:val="baseline"/>
                <w:lang w:eastAsia="zh-CN"/>
              </w:rPr>
            </w:pPr>
            <w:r>
              <w:rPr>
                <w:rFonts w:hint="eastAsia"/>
                <w:sz w:val="15"/>
                <w:szCs w:val="15"/>
                <w:vertAlign w:val="baseline"/>
                <w:lang w:eastAsia="zh-CN"/>
              </w:rPr>
              <w:t>基本电价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8" w:hRule="atLeast"/>
        </w:trPr>
        <w:tc>
          <w:tcPr>
            <w:tcW w:w="3984" w:type="dxa"/>
            <w:gridSpan w:val="2"/>
            <w:vMerge w:val="continue"/>
            <w:tcBorders>
              <w:top w:val="nil"/>
              <w:bottom w:val="nil"/>
            </w:tcBorders>
            <w:vAlign w:val="center"/>
          </w:tcPr>
          <w:p>
            <w:pPr>
              <w:jc w:val="center"/>
              <w:rPr>
                <w:sz w:val="15"/>
                <w:szCs w:val="15"/>
                <w:vertAlign w:val="baseline"/>
              </w:rPr>
            </w:pPr>
          </w:p>
        </w:tc>
        <w:tc>
          <w:tcPr>
            <w:tcW w:w="1210" w:type="dxa"/>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eastAsia="zh-CN"/>
              </w:rPr>
              <w:t>不满</w:t>
            </w:r>
            <w:r>
              <w:rPr>
                <w:rFonts w:hint="eastAsia"/>
                <w:sz w:val="15"/>
                <w:szCs w:val="15"/>
                <w:vertAlign w:val="baseline"/>
                <w:lang w:val="en-US" w:eastAsia="zh-CN"/>
              </w:rPr>
              <w:t>1千伏</w:t>
            </w:r>
          </w:p>
        </w:tc>
        <w:tc>
          <w:tcPr>
            <w:tcW w:w="1240" w:type="dxa"/>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1--10千伏</w:t>
            </w:r>
          </w:p>
        </w:tc>
        <w:tc>
          <w:tcPr>
            <w:tcW w:w="1282" w:type="dxa"/>
            <w:vMerge w:val="restart"/>
            <w:tcBorders>
              <w:top w:val="single" w:color="auto" w:sz="4" w:space="0"/>
              <w:bottom w:val="nil"/>
            </w:tcBorders>
            <w:vAlign w:val="center"/>
          </w:tcPr>
          <w:p>
            <w:pPr>
              <w:jc w:val="both"/>
              <w:rPr>
                <w:rFonts w:hint="eastAsia" w:eastAsiaTheme="minorEastAsia"/>
                <w:sz w:val="15"/>
                <w:szCs w:val="15"/>
                <w:vertAlign w:val="baseline"/>
                <w:lang w:val="en-US" w:eastAsia="zh-CN"/>
              </w:rPr>
            </w:pPr>
            <w:r>
              <w:rPr>
                <w:rFonts w:hint="eastAsia"/>
                <w:sz w:val="15"/>
                <w:szCs w:val="15"/>
                <w:vertAlign w:val="baseline"/>
                <w:lang w:val="en-US" w:eastAsia="zh-CN"/>
              </w:rPr>
              <w:t>35--11千伏以下</w:t>
            </w:r>
          </w:p>
        </w:tc>
        <w:tc>
          <w:tcPr>
            <w:tcW w:w="1340" w:type="dxa"/>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110千伏</w:t>
            </w:r>
          </w:p>
        </w:tc>
        <w:tc>
          <w:tcPr>
            <w:tcW w:w="1325" w:type="dxa"/>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220千伏</w:t>
            </w:r>
          </w:p>
        </w:tc>
        <w:tc>
          <w:tcPr>
            <w:tcW w:w="1240" w:type="dxa"/>
            <w:vMerge w:val="restart"/>
            <w:tcBorders>
              <w:top w:val="single" w:color="auto" w:sz="4" w:space="0"/>
              <w:bottom w:val="nil"/>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330千伏及以上</w:t>
            </w:r>
          </w:p>
        </w:tc>
        <w:tc>
          <w:tcPr>
            <w:tcW w:w="1282" w:type="dxa"/>
            <w:tcBorders>
              <w:top w:val="single" w:color="auto" w:sz="4" w:space="0"/>
              <w:bottom w:val="single" w:color="auto" w:sz="4" w:space="0"/>
            </w:tcBorders>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最大需量</w:t>
            </w:r>
          </w:p>
        </w:tc>
        <w:tc>
          <w:tcPr>
            <w:tcW w:w="1095" w:type="dxa"/>
            <w:tcBorders>
              <w:top w:val="single" w:color="auto" w:sz="4" w:space="0"/>
              <w:bottom w:val="single" w:color="auto" w:sz="4" w:space="0"/>
            </w:tcBorders>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变压器容量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3984" w:type="dxa"/>
            <w:gridSpan w:val="2"/>
            <w:vMerge w:val="continue"/>
            <w:tcBorders>
              <w:top w:val="nil"/>
            </w:tcBorders>
            <w:vAlign w:val="center"/>
          </w:tcPr>
          <w:p>
            <w:pPr>
              <w:jc w:val="center"/>
              <w:rPr>
                <w:sz w:val="15"/>
                <w:szCs w:val="15"/>
                <w:vertAlign w:val="baseline"/>
              </w:rPr>
            </w:pPr>
          </w:p>
        </w:tc>
        <w:tc>
          <w:tcPr>
            <w:tcW w:w="1210" w:type="dxa"/>
            <w:vMerge w:val="continue"/>
            <w:tcBorders>
              <w:top w:val="nil"/>
            </w:tcBorders>
            <w:vAlign w:val="center"/>
          </w:tcPr>
          <w:p>
            <w:pPr>
              <w:jc w:val="center"/>
              <w:rPr>
                <w:sz w:val="15"/>
                <w:szCs w:val="15"/>
                <w:vertAlign w:val="baseline"/>
              </w:rPr>
            </w:pPr>
          </w:p>
        </w:tc>
        <w:tc>
          <w:tcPr>
            <w:tcW w:w="1240" w:type="dxa"/>
            <w:vMerge w:val="continue"/>
            <w:tcBorders>
              <w:top w:val="nil"/>
            </w:tcBorders>
            <w:vAlign w:val="center"/>
          </w:tcPr>
          <w:p>
            <w:pPr>
              <w:jc w:val="center"/>
              <w:rPr>
                <w:sz w:val="15"/>
                <w:szCs w:val="15"/>
                <w:vertAlign w:val="baseline"/>
              </w:rPr>
            </w:pPr>
          </w:p>
        </w:tc>
        <w:tc>
          <w:tcPr>
            <w:tcW w:w="1282" w:type="dxa"/>
            <w:vMerge w:val="continue"/>
            <w:tcBorders>
              <w:top w:val="nil"/>
            </w:tcBorders>
            <w:vAlign w:val="center"/>
          </w:tcPr>
          <w:p>
            <w:pPr>
              <w:jc w:val="center"/>
              <w:rPr>
                <w:sz w:val="15"/>
                <w:szCs w:val="15"/>
                <w:vertAlign w:val="baseline"/>
              </w:rPr>
            </w:pPr>
          </w:p>
        </w:tc>
        <w:tc>
          <w:tcPr>
            <w:tcW w:w="1340" w:type="dxa"/>
            <w:vMerge w:val="continue"/>
            <w:tcBorders>
              <w:top w:val="nil"/>
            </w:tcBorders>
            <w:vAlign w:val="center"/>
          </w:tcPr>
          <w:p>
            <w:pPr>
              <w:jc w:val="center"/>
              <w:rPr>
                <w:sz w:val="15"/>
                <w:szCs w:val="15"/>
                <w:vertAlign w:val="baseline"/>
              </w:rPr>
            </w:pPr>
          </w:p>
        </w:tc>
        <w:tc>
          <w:tcPr>
            <w:tcW w:w="1325" w:type="dxa"/>
            <w:vMerge w:val="continue"/>
            <w:tcBorders>
              <w:top w:val="nil"/>
            </w:tcBorders>
            <w:vAlign w:val="center"/>
          </w:tcPr>
          <w:p>
            <w:pPr>
              <w:jc w:val="center"/>
              <w:rPr>
                <w:sz w:val="15"/>
                <w:szCs w:val="15"/>
                <w:vertAlign w:val="baseline"/>
              </w:rPr>
            </w:pPr>
          </w:p>
        </w:tc>
        <w:tc>
          <w:tcPr>
            <w:tcW w:w="1240" w:type="dxa"/>
            <w:vMerge w:val="continue"/>
            <w:tcBorders>
              <w:top w:val="nil"/>
            </w:tcBorders>
            <w:vAlign w:val="center"/>
          </w:tcPr>
          <w:p>
            <w:pPr>
              <w:jc w:val="center"/>
              <w:rPr>
                <w:sz w:val="15"/>
                <w:szCs w:val="15"/>
                <w:vertAlign w:val="baseline"/>
              </w:rPr>
            </w:pPr>
          </w:p>
        </w:tc>
        <w:tc>
          <w:tcPr>
            <w:tcW w:w="1282" w:type="dxa"/>
            <w:tcBorders>
              <w:top w:val="single" w:color="auto" w:sz="4" w:space="0"/>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eastAsia="zh-CN"/>
              </w:rPr>
              <w:t>元</w:t>
            </w:r>
            <w:r>
              <w:rPr>
                <w:rFonts w:hint="eastAsia"/>
                <w:sz w:val="15"/>
                <w:szCs w:val="15"/>
                <w:vertAlign w:val="baseline"/>
                <w:lang w:val="en-US" w:eastAsia="zh-CN"/>
              </w:rPr>
              <w:t>/千瓦.月</w:t>
            </w:r>
          </w:p>
        </w:tc>
        <w:tc>
          <w:tcPr>
            <w:tcW w:w="1095" w:type="dxa"/>
            <w:tcBorders>
              <w:top w:val="single" w:color="auto" w:sz="4" w:space="0"/>
            </w:tcBorders>
            <w:vAlign w:val="center"/>
          </w:tcPr>
          <w:p>
            <w:pPr>
              <w:jc w:val="center"/>
              <w:rPr>
                <w:rFonts w:hint="default" w:eastAsiaTheme="minorEastAsia"/>
                <w:sz w:val="15"/>
                <w:szCs w:val="15"/>
                <w:vertAlign w:val="baseline"/>
                <w:lang w:val="en-US" w:eastAsia="zh-CN"/>
              </w:rPr>
            </w:pPr>
            <w:r>
              <w:rPr>
                <w:rFonts w:hint="eastAsia"/>
                <w:sz w:val="15"/>
                <w:szCs w:val="15"/>
                <w:vertAlign w:val="baseline"/>
                <w:lang w:eastAsia="zh-CN"/>
              </w:rPr>
              <w:t>元</w:t>
            </w:r>
            <w:r>
              <w:rPr>
                <w:rFonts w:hint="eastAsia"/>
                <w:sz w:val="15"/>
                <w:szCs w:val="15"/>
                <w:vertAlign w:val="baseline"/>
                <w:lang w:val="en-US" w:eastAsia="zh-CN"/>
              </w:rPr>
              <w:t>/千伏安.月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1" w:hRule="atLeast"/>
        </w:trPr>
        <w:tc>
          <w:tcPr>
            <w:tcW w:w="3984" w:type="dxa"/>
            <w:gridSpan w:val="2"/>
            <w:vAlign w:val="center"/>
          </w:tcPr>
          <w:p>
            <w:pPr>
              <w:jc w:val="both"/>
              <w:rPr>
                <w:rFonts w:hint="default" w:eastAsiaTheme="minorEastAsia"/>
                <w:sz w:val="15"/>
                <w:szCs w:val="15"/>
                <w:vertAlign w:val="baseline"/>
                <w:lang w:val="en-US" w:eastAsia="zh-CN"/>
              </w:rPr>
            </w:pPr>
            <w:r>
              <w:rPr>
                <w:rFonts w:hint="eastAsia"/>
                <w:sz w:val="15"/>
                <w:szCs w:val="15"/>
                <w:vertAlign w:val="baseline"/>
                <w:lang w:eastAsia="zh-CN"/>
              </w:rPr>
              <w:t>一、居名生活用电</w:t>
            </w:r>
          </w:p>
        </w:tc>
        <w:tc>
          <w:tcPr>
            <w:tcW w:w="121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0.4486</w:t>
            </w: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0.4486</w:t>
            </w:r>
          </w:p>
        </w:tc>
        <w:tc>
          <w:tcPr>
            <w:tcW w:w="1282" w:type="dxa"/>
            <w:vAlign w:val="center"/>
          </w:tcPr>
          <w:p>
            <w:pPr>
              <w:jc w:val="center"/>
              <w:rPr>
                <w:sz w:val="15"/>
                <w:szCs w:val="15"/>
                <w:vertAlign w:val="baseline"/>
              </w:rPr>
            </w:pPr>
          </w:p>
        </w:tc>
        <w:tc>
          <w:tcPr>
            <w:tcW w:w="1340" w:type="dxa"/>
            <w:vAlign w:val="center"/>
          </w:tcPr>
          <w:p>
            <w:pPr>
              <w:jc w:val="center"/>
              <w:rPr>
                <w:sz w:val="15"/>
                <w:szCs w:val="15"/>
                <w:vertAlign w:val="baseline"/>
              </w:rPr>
            </w:pPr>
          </w:p>
        </w:tc>
        <w:tc>
          <w:tcPr>
            <w:tcW w:w="1325" w:type="dxa"/>
            <w:vAlign w:val="center"/>
          </w:tcPr>
          <w:p>
            <w:pPr>
              <w:jc w:val="center"/>
              <w:rPr>
                <w:sz w:val="15"/>
                <w:szCs w:val="15"/>
                <w:vertAlign w:val="baseline"/>
              </w:rPr>
            </w:pPr>
          </w:p>
        </w:tc>
        <w:tc>
          <w:tcPr>
            <w:tcW w:w="1240" w:type="dxa"/>
            <w:vAlign w:val="center"/>
          </w:tcPr>
          <w:p>
            <w:pPr>
              <w:jc w:val="center"/>
              <w:rPr>
                <w:sz w:val="15"/>
                <w:szCs w:val="15"/>
                <w:vertAlign w:val="baseline"/>
              </w:rPr>
            </w:pPr>
          </w:p>
        </w:tc>
        <w:tc>
          <w:tcPr>
            <w:tcW w:w="1282" w:type="dxa"/>
            <w:vAlign w:val="center"/>
          </w:tcPr>
          <w:p>
            <w:pPr>
              <w:jc w:val="both"/>
              <w:rPr>
                <w:sz w:val="15"/>
                <w:szCs w:val="15"/>
                <w:vertAlign w:val="baseline"/>
              </w:rPr>
            </w:pPr>
          </w:p>
        </w:tc>
        <w:tc>
          <w:tcPr>
            <w:tcW w:w="1095" w:type="dxa"/>
            <w:vAlign w:val="center"/>
          </w:tcPr>
          <w:p>
            <w:pPr>
              <w:jc w:val="both"/>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2934" w:type="dxa"/>
            <w:vMerge w:val="restart"/>
            <w:vAlign w:val="center"/>
          </w:tcPr>
          <w:p>
            <w:pPr>
              <w:jc w:val="both"/>
              <w:rPr>
                <w:rFonts w:hint="eastAsia" w:eastAsiaTheme="minorEastAsia"/>
                <w:sz w:val="15"/>
                <w:szCs w:val="15"/>
                <w:vertAlign w:val="baseline"/>
                <w:lang w:eastAsia="zh-CN"/>
              </w:rPr>
            </w:pPr>
            <w:r>
              <w:rPr>
                <w:rFonts w:hint="eastAsia"/>
                <w:sz w:val="15"/>
                <w:szCs w:val="15"/>
                <w:vertAlign w:val="baseline"/>
                <w:lang w:eastAsia="zh-CN"/>
              </w:rPr>
              <w:t>二、工商业及其他用电</w:t>
            </w:r>
          </w:p>
        </w:tc>
        <w:tc>
          <w:tcPr>
            <w:tcW w:w="1050" w:type="dxa"/>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单一制</w:t>
            </w:r>
          </w:p>
        </w:tc>
        <w:tc>
          <w:tcPr>
            <w:tcW w:w="121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0.5520</w:t>
            </w: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0.5320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0.5120</w:t>
            </w:r>
          </w:p>
        </w:tc>
        <w:tc>
          <w:tcPr>
            <w:tcW w:w="1340" w:type="dxa"/>
            <w:vAlign w:val="center"/>
          </w:tcPr>
          <w:p>
            <w:pPr>
              <w:jc w:val="center"/>
              <w:rPr>
                <w:rFonts w:hint="default" w:eastAsiaTheme="minorEastAsia"/>
                <w:sz w:val="15"/>
                <w:szCs w:val="15"/>
                <w:vertAlign w:val="baseline"/>
                <w:lang w:val="en-US" w:eastAsia="zh-CN"/>
              </w:rPr>
            </w:pPr>
          </w:p>
        </w:tc>
        <w:tc>
          <w:tcPr>
            <w:tcW w:w="1325" w:type="dxa"/>
            <w:vAlign w:val="center"/>
          </w:tcPr>
          <w:p>
            <w:pPr>
              <w:jc w:val="center"/>
              <w:rPr>
                <w:rFonts w:hint="default" w:eastAsiaTheme="minorEastAsia"/>
                <w:sz w:val="15"/>
                <w:szCs w:val="15"/>
                <w:vertAlign w:val="baseline"/>
                <w:lang w:val="en-US" w:eastAsia="zh-CN"/>
              </w:rPr>
            </w:pPr>
          </w:p>
        </w:tc>
        <w:tc>
          <w:tcPr>
            <w:tcW w:w="1240" w:type="dxa"/>
            <w:vAlign w:val="center"/>
          </w:tcPr>
          <w:p>
            <w:pPr>
              <w:jc w:val="center"/>
              <w:rPr>
                <w:rFonts w:hint="default" w:eastAsiaTheme="minorEastAsia"/>
                <w:sz w:val="15"/>
                <w:szCs w:val="15"/>
                <w:vertAlign w:val="baseline"/>
                <w:lang w:val="en-US" w:eastAsia="zh-CN"/>
              </w:rPr>
            </w:pPr>
          </w:p>
        </w:tc>
        <w:tc>
          <w:tcPr>
            <w:tcW w:w="1282" w:type="dxa"/>
            <w:vAlign w:val="center"/>
          </w:tcPr>
          <w:p>
            <w:pPr>
              <w:jc w:val="center"/>
              <w:rPr>
                <w:sz w:val="15"/>
                <w:szCs w:val="15"/>
                <w:vertAlign w:val="baseline"/>
              </w:rPr>
            </w:pPr>
          </w:p>
        </w:tc>
        <w:tc>
          <w:tcPr>
            <w:tcW w:w="1095" w:type="dxa"/>
            <w:vAlign w:val="center"/>
          </w:tcPr>
          <w:p>
            <w:pPr>
              <w:jc w:val="center"/>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934" w:type="dxa"/>
            <w:vMerge w:val="continue"/>
            <w:vAlign w:val="center"/>
          </w:tcPr>
          <w:p>
            <w:pPr>
              <w:jc w:val="center"/>
              <w:rPr>
                <w:sz w:val="15"/>
                <w:szCs w:val="15"/>
                <w:vertAlign w:val="baseline"/>
              </w:rPr>
            </w:pPr>
          </w:p>
        </w:tc>
        <w:tc>
          <w:tcPr>
            <w:tcW w:w="1050" w:type="dxa"/>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两部制</w:t>
            </w:r>
          </w:p>
        </w:tc>
        <w:tc>
          <w:tcPr>
            <w:tcW w:w="1210" w:type="dxa"/>
            <w:vAlign w:val="center"/>
          </w:tcPr>
          <w:p>
            <w:pPr>
              <w:jc w:val="center"/>
              <w:rPr>
                <w:sz w:val="15"/>
                <w:szCs w:val="15"/>
                <w:vertAlign w:val="baseline"/>
              </w:rPr>
            </w:pP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0.4690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0.4390</w:t>
            </w:r>
          </w:p>
        </w:tc>
        <w:tc>
          <w:tcPr>
            <w:tcW w:w="1340" w:type="dxa"/>
            <w:vAlign w:val="center"/>
          </w:tcPr>
          <w:p>
            <w:pPr>
              <w:jc w:val="center"/>
              <w:rPr>
                <w:sz w:val="15"/>
                <w:szCs w:val="15"/>
                <w:vertAlign w:val="baseline"/>
              </w:rPr>
            </w:pPr>
            <w:r>
              <w:rPr>
                <w:rFonts w:hint="eastAsia"/>
                <w:sz w:val="15"/>
                <w:szCs w:val="15"/>
                <w:vertAlign w:val="baseline"/>
                <w:lang w:val="en-US" w:eastAsia="zh-CN"/>
              </w:rPr>
              <w:t>0.4090</w:t>
            </w:r>
          </w:p>
        </w:tc>
        <w:tc>
          <w:tcPr>
            <w:tcW w:w="1325" w:type="dxa"/>
            <w:vAlign w:val="center"/>
          </w:tcPr>
          <w:p>
            <w:pPr>
              <w:jc w:val="center"/>
              <w:rPr>
                <w:sz w:val="15"/>
                <w:szCs w:val="15"/>
                <w:vertAlign w:val="baseline"/>
              </w:rPr>
            </w:pPr>
            <w:r>
              <w:rPr>
                <w:rFonts w:hint="eastAsia"/>
                <w:sz w:val="15"/>
                <w:szCs w:val="15"/>
                <w:vertAlign w:val="baseline"/>
                <w:lang w:val="en-US" w:eastAsia="zh-CN"/>
              </w:rPr>
              <w:t>0.3780</w:t>
            </w:r>
          </w:p>
        </w:tc>
        <w:tc>
          <w:tcPr>
            <w:tcW w:w="1240" w:type="dxa"/>
            <w:vAlign w:val="center"/>
          </w:tcPr>
          <w:p>
            <w:pPr>
              <w:jc w:val="center"/>
              <w:rPr>
                <w:sz w:val="15"/>
                <w:szCs w:val="15"/>
                <w:vertAlign w:val="baseline"/>
              </w:rPr>
            </w:pPr>
            <w:r>
              <w:rPr>
                <w:rFonts w:hint="eastAsia"/>
                <w:sz w:val="15"/>
                <w:szCs w:val="15"/>
                <w:vertAlign w:val="baseline"/>
                <w:lang w:val="en-US" w:eastAsia="zh-CN"/>
              </w:rPr>
              <w:t>0.3630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33</w:t>
            </w:r>
          </w:p>
        </w:tc>
        <w:tc>
          <w:tcPr>
            <w:tcW w:w="1095"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3984" w:type="dxa"/>
            <w:gridSpan w:val="2"/>
            <w:vAlign w:val="center"/>
          </w:tcPr>
          <w:p>
            <w:pPr>
              <w:jc w:val="center"/>
              <w:rPr>
                <w:rFonts w:hint="eastAsia" w:eastAsiaTheme="minorEastAsia"/>
                <w:sz w:val="15"/>
                <w:szCs w:val="15"/>
                <w:vertAlign w:val="baseline"/>
                <w:lang w:eastAsia="zh-CN"/>
              </w:rPr>
            </w:pPr>
            <w:r>
              <w:rPr>
                <w:rFonts w:hint="eastAsia"/>
                <w:sz w:val="15"/>
                <w:szCs w:val="15"/>
                <w:vertAlign w:val="baseline"/>
                <w:lang w:eastAsia="zh-CN"/>
              </w:rPr>
              <w:t>其中：电石、铁合金、碳化硅、电解铝、单多晶硅行业生</w:t>
            </w:r>
            <w:r>
              <w:rPr>
                <w:rFonts w:hint="eastAsia"/>
                <w:sz w:val="15"/>
                <w:szCs w:val="15"/>
                <w:vertAlign w:val="baseline"/>
                <w:lang w:val="en-US" w:eastAsia="zh-CN"/>
              </w:rPr>
              <w:t xml:space="preserve"> </w:t>
            </w:r>
            <w:r>
              <w:rPr>
                <w:rFonts w:hint="eastAsia"/>
                <w:sz w:val="15"/>
                <w:szCs w:val="15"/>
                <w:vertAlign w:val="baseline"/>
                <w:lang w:eastAsia="zh-CN"/>
              </w:rPr>
              <w:t>产用电</w:t>
            </w:r>
          </w:p>
        </w:tc>
        <w:tc>
          <w:tcPr>
            <w:tcW w:w="1210" w:type="dxa"/>
            <w:vAlign w:val="center"/>
          </w:tcPr>
          <w:p>
            <w:pPr>
              <w:jc w:val="center"/>
              <w:rPr>
                <w:sz w:val="15"/>
                <w:szCs w:val="15"/>
                <w:vertAlign w:val="baseline"/>
              </w:rPr>
            </w:pP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0.4410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0.4410</w:t>
            </w:r>
          </w:p>
        </w:tc>
        <w:tc>
          <w:tcPr>
            <w:tcW w:w="13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0.3910</w:t>
            </w:r>
          </w:p>
        </w:tc>
        <w:tc>
          <w:tcPr>
            <w:tcW w:w="1325"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0.3710</w:t>
            </w: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0.3560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33</w:t>
            </w:r>
          </w:p>
        </w:tc>
        <w:tc>
          <w:tcPr>
            <w:tcW w:w="1095"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3984" w:type="dxa"/>
            <w:gridSpan w:val="2"/>
            <w:vAlign w:val="center"/>
          </w:tcPr>
          <w:p>
            <w:pPr>
              <w:jc w:val="both"/>
              <w:rPr>
                <w:rFonts w:hint="eastAsia" w:eastAsiaTheme="minorEastAsia"/>
                <w:sz w:val="15"/>
                <w:szCs w:val="15"/>
                <w:vertAlign w:val="baseline"/>
                <w:lang w:eastAsia="zh-CN"/>
              </w:rPr>
            </w:pPr>
            <w:r>
              <w:rPr>
                <w:rFonts w:hint="eastAsia"/>
                <w:sz w:val="15"/>
                <w:szCs w:val="15"/>
                <w:vertAlign w:val="baseline"/>
                <w:lang w:eastAsia="zh-CN"/>
              </w:rPr>
              <w:t>三、农业生产用电</w:t>
            </w:r>
          </w:p>
        </w:tc>
        <w:tc>
          <w:tcPr>
            <w:tcW w:w="121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0.4730</w:t>
            </w: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0.4630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0.4530</w:t>
            </w:r>
          </w:p>
        </w:tc>
        <w:tc>
          <w:tcPr>
            <w:tcW w:w="1340" w:type="dxa"/>
            <w:vAlign w:val="center"/>
          </w:tcPr>
          <w:p>
            <w:pPr>
              <w:jc w:val="center"/>
              <w:rPr>
                <w:sz w:val="15"/>
                <w:szCs w:val="15"/>
                <w:vertAlign w:val="baseline"/>
              </w:rPr>
            </w:pPr>
          </w:p>
        </w:tc>
        <w:tc>
          <w:tcPr>
            <w:tcW w:w="1325" w:type="dxa"/>
            <w:vAlign w:val="center"/>
          </w:tcPr>
          <w:p>
            <w:pPr>
              <w:jc w:val="center"/>
              <w:rPr>
                <w:sz w:val="15"/>
                <w:szCs w:val="15"/>
                <w:vertAlign w:val="baseline"/>
              </w:rPr>
            </w:pPr>
          </w:p>
        </w:tc>
        <w:tc>
          <w:tcPr>
            <w:tcW w:w="1240" w:type="dxa"/>
            <w:vAlign w:val="center"/>
          </w:tcPr>
          <w:p>
            <w:pPr>
              <w:jc w:val="center"/>
              <w:rPr>
                <w:sz w:val="15"/>
                <w:szCs w:val="15"/>
                <w:vertAlign w:val="baseline"/>
              </w:rPr>
            </w:pPr>
          </w:p>
        </w:tc>
        <w:tc>
          <w:tcPr>
            <w:tcW w:w="1282" w:type="dxa"/>
            <w:vAlign w:val="center"/>
          </w:tcPr>
          <w:p>
            <w:pPr>
              <w:jc w:val="center"/>
              <w:rPr>
                <w:sz w:val="15"/>
                <w:szCs w:val="15"/>
                <w:vertAlign w:val="baseline"/>
              </w:rPr>
            </w:pPr>
          </w:p>
        </w:tc>
        <w:tc>
          <w:tcPr>
            <w:tcW w:w="1095" w:type="dxa"/>
            <w:vAlign w:val="center"/>
          </w:tcPr>
          <w:p>
            <w:pPr>
              <w:jc w:val="center"/>
              <w:rPr>
                <w:sz w:val="15"/>
                <w:szCs w:val="15"/>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trPr>
        <w:tc>
          <w:tcPr>
            <w:tcW w:w="3984" w:type="dxa"/>
            <w:gridSpan w:val="2"/>
            <w:vAlign w:val="center"/>
          </w:tcPr>
          <w:p>
            <w:pPr>
              <w:jc w:val="both"/>
              <w:rPr>
                <w:rFonts w:hint="eastAsia" w:eastAsiaTheme="minorEastAsia"/>
                <w:sz w:val="15"/>
                <w:szCs w:val="15"/>
                <w:vertAlign w:val="baseline"/>
                <w:lang w:eastAsia="zh-CN"/>
              </w:rPr>
            </w:pPr>
            <w:r>
              <w:rPr>
                <w:rFonts w:hint="eastAsia"/>
                <w:sz w:val="15"/>
                <w:szCs w:val="15"/>
                <w:vertAlign w:val="baseline"/>
                <w:lang w:eastAsia="zh-CN"/>
              </w:rPr>
              <w:t>其中：贫困县农业排灌用电</w:t>
            </w:r>
          </w:p>
        </w:tc>
        <w:tc>
          <w:tcPr>
            <w:tcW w:w="121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0.3020</w:t>
            </w:r>
          </w:p>
        </w:tc>
        <w:tc>
          <w:tcPr>
            <w:tcW w:w="1240"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0.2920</w:t>
            </w:r>
          </w:p>
        </w:tc>
        <w:tc>
          <w:tcPr>
            <w:tcW w:w="1282" w:type="dxa"/>
            <w:vAlign w:val="center"/>
          </w:tcPr>
          <w:p>
            <w:pPr>
              <w:jc w:val="center"/>
              <w:rPr>
                <w:rFonts w:hint="default" w:eastAsiaTheme="minorEastAsia"/>
                <w:sz w:val="15"/>
                <w:szCs w:val="15"/>
                <w:vertAlign w:val="baseline"/>
                <w:lang w:val="en-US" w:eastAsia="zh-CN"/>
              </w:rPr>
            </w:pPr>
            <w:r>
              <w:rPr>
                <w:rFonts w:hint="eastAsia"/>
                <w:sz w:val="15"/>
                <w:szCs w:val="15"/>
                <w:vertAlign w:val="baseline"/>
                <w:lang w:val="en-US" w:eastAsia="zh-CN"/>
              </w:rPr>
              <w:t>0.2820</w:t>
            </w:r>
          </w:p>
        </w:tc>
        <w:tc>
          <w:tcPr>
            <w:tcW w:w="1340" w:type="dxa"/>
            <w:vAlign w:val="center"/>
          </w:tcPr>
          <w:p>
            <w:pPr>
              <w:jc w:val="center"/>
              <w:rPr>
                <w:sz w:val="15"/>
                <w:szCs w:val="15"/>
                <w:vertAlign w:val="baseline"/>
              </w:rPr>
            </w:pPr>
          </w:p>
        </w:tc>
        <w:tc>
          <w:tcPr>
            <w:tcW w:w="1325" w:type="dxa"/>
            <w:vAlign w:val="center"/>
          </w:tcPr>
          <w:p>
            <w:pPr>
              <w:jc w:val="center"/>
              <w:rPr>
                <w:sz w:val="15"/>
                <w:szCs w:val="15"/>
                <w:vertAlign w:val="baseline"/>
              </w:rPr>
            </w:pPr>
          </w:p>
        </w:tc>
        <w:tc>
          <w:tcPr>
            <w:tcW w:w="1240" w:type="dxa"/>
            <w:vAlign w:val="center"/>
          </w:tcPr>
          <w:p>
            <w:pPr>
              <w:jc w:val="center"/>
              <w:rPr>
                <w:sz w:val="15"/>
                <w:szCs w:val="15"/>
                <w:vertAlign w:val="baseline"/>
              </w:rPr>
            </w:pPr>
          </w:p>
        </w:tc>
        <w:tc>
          <w:tcPr>
            <w:tcW w:w="1282" w:type="dxa"/>
            <w:vAlign w:val="center"/>
          </w:tcPr>
          <w:p>
            <w:pPr>
              <w:jc w:val="center"/>
              <w:rPr>
                <w:sz w:val="15"/>
                <w:szCs w:val="15"/>
                <w:vertAlign w:val="baseline"/>
              </w:rPr>
            </w:pPr>
          </w:p>
        </w:tc>
        <w:tc>
          <w:tcPr>
            <w:tcW w:w="1095" w:type="dxa"/>
            <w:vAlign w:val="center"/>
          </w:tcPr>
          <w:p>
            <w:pPr>
              <w:jc w:val="center"/>
              <w:rPr>
                <w:sz w:val="15"/>
                <w:szCs w:val="15"/>
                <w:vertAlign w:val="baseline"/>
              </w:rPr>
            </w:pPr>
          </w:p>
        </w:tc>
      </w:tr>
    </w:tbl>
    <w:p>
      <w:pPr>
        <w:rPr>
          <w:rFonts w:hint="eastAsia"/>
          <w:sz w:val="15"/>
          <w:szCs w:val="15"/>
        </w:rPr>
      </w:pPr>
      <w:r>
        <w:rPr>
          <w:rFonts w:hint="eastAsia"/>
          <w:sz w:val="15"/>
          <w:szCs w:val="15"/>
        </w:rPr>
        <w:t>注：1．上表所列价格</w:t>
      </w:r>
      <w:r>
        <w:rPr>
          <w:rFonts w:hint="eastAsia"/>
          <w:sz w:val="15"/>
          <w:szCs w:val="15"/>
          <w:lang w:eastAsia="zh-CN"/>
        </w:rPr>
        <w:t>贫困县</w:t>
      </w:r>
      <w:r>
        <w:rPr>
          <w:rFonts w:hint="eastAsia"/>
          <w:sz w:val="15"/>
          <w:szCs w:val="15"/>
        </w:rPr>
        <w:t>农业排</w:t>
      </w:r>
      <w:r>
        <w:rPr>
          <w:rFonts w:hint="eastAsia"/>
          <w:sz w:val="15"/>
          <w:szCs w:val="15"/>
          <w:lang w:eastAsia="zh-CN"/>
        </w:rPr>
        <w:t>灌</w:t>
      </w:r>
      <w:r>
        <w:rPr>
          <w:rFonts w:hint="eastAsia"/>
          <w:sz w:val="15"/>
          <w:szCs w:val="15"/>
        </w:rPr>
        <w:t>外，均含国家重大水利工程建设</w:t>
      </w:r>
      <w:r>
        <w:rPr>
          <w:rFonts w:hint="eastAsia"/>
          <w:sz w:val="15"/>
          <w:szCs w:val="15"/>
          <w:lang w:eastAsia="zh-CN"/>
        </w:rPr>
        <w:t>基</w:t>
      </w:r>
      <w:r>
        <w:rPr>
          <w:rFonts w:hint="eastAsia"/>
          <w:sz w:val="15"/>
          <w:szCs w:val="15"/>
        </w:rPr>
        <w:t>金0</w:t>
      </w:r>
      <w:r>
        <w:rPr>
          <w:rFonts w:hint="eastAsia"/>
          <w:sz w:val="15"/>
          <w:szCs w:val="15"/>
          <w:lang w:val="en-US" w:eastAsia="zh-CN"/>
        </w:rPr>
        <w:t>.</w:t>
      </w:r>
      <w:r>
        <w:rPr>
          <w:rFonts w:hint="eastAsia"/>
          <w:sz w:val="15"/>
          <w:szCs w:val="15"/>
        </w:rPr>
        <w:t>225分钱和农网还</w:t>
      </w:r>
      <w:r>
        <w:rPr>
          <w:rFonts w:hint="eastAsia"/>
          <w:sz w:val="15"/>
          <w:szCs w:val="15"/>
          <w:lang w:eastAsia="zh-CN"/>
        </w:rPr>
        <w:t>贷</w:t>
      </w:r>
      <w:r>
        <w:rPr>
          <w:rFonts w:hint="eastAsia"/>
          <w:sz w:val="15"/>
          <w:szCs w:val="15"/>
        </w:rPr>
        <w:t>资金2分钱</w:t>
      </w:r>
      <w:r>
        <w:rPr>
          <w:rFonts w:hint="eastAsia"/>
          <w:sz w:val="15"/>
          <w:szCs w:val="15"/>
          <w:lang w:eastAsia="zh-CN"/>
        </w:rPr>
        <w:t>；</w:t>
      </w:r>
      <w:r>
        <w:rPr>
          <w:rFonts w:hint="eastAsia"/>
          <w:sz w:val="15"/>
          <w:szCs w:val="15"/>
        </w:rPr>
        <w:t>除</w:t>
      </w:r>
      <w:r>
        <w:rPr>
          <w:rFonts w:hint="eastAsia"/>
          <w:sz w:val="15"/>
          <w:szCs w:val="15"/>
          <w:lang w:eastAsia="zh-CN"/>
        </w:rPr>
        <w:t>贫</w:t>
      </w:r>
      <w:r>
        <w:rPr>
          <w:rFonts w:hint="eastAsia"/>
          <w:sz w:val="15"/>
          <w:szCs w:val="15"/>
        </w:rPr>
        <w:t>困县农业排</w:t>
      </w:r>
      <w:r>
        <w:rPr>
          <w:rFonts w:hint="eastAsia"/>
          <w:sz w:val="15"/>
          <w:szCs w:val="15"/>
          <w:lang w:eastAsia="zh-CN"/>
        </w:rPr>
        <w:t>灌</w:t>
      </w:r>
      <w:r>
        <w:rPr>
          <w:rFonts w:hint="eastAsia"/>
          <w:sz w:val="15"/>
          <w:szCs w:val="15"/>
        </w:rPr>
        <w:t>和农业生产电价外。均含大中型移民后期扶持资金0</w:t>
      </w:r>
      <w:r>
        <w:rPr>
          <w:rFonts w:hint="eastAsia"/>
          <w:sz w:val="15"/>
          <w:szCs w:val="15"/>
          <w:lang w:val="en-US" w:eastAsia="zh-CN"/>
        </w:rPr>
        <w:t>.</w:t>
      </w:r>
      <w:r>
        <w:rPr>
          <w:rFonts w:hint="eastAsia"/>
          <w:sz w:val="15"/>
          <w:szCs w:val="15"/>
        </w:rPr>
        <w:t>12分钱。</w:t>
      </w:r>
    </w:p>
    <w:p>
      <w:pPr>
        <w:ind w:firstLine="300" w:firstLineChars="200"/>
        <w:rPr>
          <w:rFonts w:hint="eastAsia"/>
          <w:sz w:val="15"/>
          <w:szCs w:val="15"/>
        </w:rPr>
      </w:pPr>
      <w:r>
        <w:rPr>
          <w:rFonts w:hint="eastAsia"/>
          <w:sz w:val="15"/>
          <w:szCs w:val="15"/>
        </w:rPr>
        <w:t>2．上表所列价格除居民生活、农业生产、</w:t>
      </w:r>
      <w:r>
        <w:rPr>
          <w:rFonts w:hint="eastAsia"/>
          <w:sz w:val="15"/>
          <w:szCs w:val="15"/>
          <w:lang w:eastAsia="zh-CN"/>
        </w:rPr>
        <w:t>贫</w:t>
      </w:r>
      <w:r>
        <w:rPr>
          <w:rFonts w:hint="eastAsia"/>
          <w:sz w:val="15"/>
          <w:szCs w:val="15"/>
        </w:rPr>
        <w:t>困县农业排</w:t>
      </w:r>
      <w:r>
        <w:rPr>
          <w:rFonts w:hint="eastAsia"/>
          <w:sz w:val="15"/>
          <w:szCs w:val="15"/>
          <w:lang w:eastAsia="zh-CN"/>
        </w:rPr>
        <w:t>灌</w:t>
      </w:r>
      <w:r>
        <w:rPr>
          <w:rFonts w:hint="eastAsia"/>
          <w:sz w:val="15"/>
          <w:szCs w:val="15"/>
        </w:rPr>
        <w:t>用电外，均含可再生能源电价附加1</w:t>
      </w:r>
      <w:r>
        <w:rPr>
          <w:rFonts w:hint="eastAsia"/>
          <w:sz w:val="15"/>
          <w:szCs w:val="15"/>
          <w:lang w:val="en-US" w:eastAsia="zh-CN"/>
        </w:rPr>
        <w:t>.</w:t>
      </w:r>
      <w:r>
        <w:rPr>
          <w:rFonts w:hint="eastAsia"/>
          <w:sz w:val="15"/>
          <w:szCs w:val="15"/>
        </w:rPr>
        <w:t>9分钱。</w:t>
      </w:r>
    </w:p>
    <w:p>
      <w:pPr>
        <w:ind w:firstLine="300" w:firstLineChars="200"/>
        <w:rPr>
          <w:rFonts w:hint="eastAsia"/>
          <w:sz w:val="15"/>
          <w:szCs w:val="15"/>
        </w:rPr>
      </w:pPr>
      <w:r>
        <w:rPr>
          <w:rFonts w:hint="eastAsia"/>
          <w:sz w:val="15"/>
          <w:szCs w:val="15"/>
        </w:rPr>
        <w:t>3．抗灾救灾用电按表列分类电价降低2分执行。</w:t>
      </w:r>
    </w:p>
    <w:p>
      <w:pPr>
        <w:ind w:firstLine="300" w:firstLineChars="200"/>
        <w:rPr>
          <w:rFonts w:hint="eastAsia"/>
          <w:sz w:val="15"/>
          <w:szCs w:val="15"/>
        </w:rPr>
      </w:pPr>
      <w:r>
        <w:rPr>
          <w:rFonts w:hint="eastAsia"/>
          <w:sz w:val="15"/>
          <w:szCs w:val="15"/>
          <w:lang w:val="en-US" w:eastAsia="zh-CN"/>
        </w:rPr>
        <w:t>4</w:t>
      </w:r>
      <w:r>
        <w:rPr>
          <w:rFonts w:hint="eastAsia"/>
          <w:sz w:val="15"/>
          <w:szCs w:val="15"/>
        </w:rPr>
        <w:t>．全区农网各类用户电价按此表执行，该电量电价构成中均含农网维护费平均为0</w:t>
      </w:r>
      <w:r>
        <w:rPr>
          <w:rFonts w:hint="eastAsia"/>
          <w:sz w:val="15"/>
          <w:szCs w:val="15"/>
          <w:lang w:val="en-US" w:eastAsia="zh-CN"/>
        </w:rPr>
        <w:t>.</w:t>
      </w:r>
      <w:r>
        <w:rPr>
          <w:rFonts w:hint="eastAsia"/>
          <w:sz w:val="15"/>
          <w:szCs w:val="15"/>
        </w:rPr>
        <w:t>1934元／干瓦时。</w:t>
      </w:r>
    </w:p>
    <w:p>
      <w:pPr>
        <w:ind w:firstLine="300" w:firstLineChars="200"/>
        <w:rPr>
          <w:rFonts w:hint="eastAsia"/>
          <w:sz w:val="15"/>
          <w:szCs w:val="15"/>
          <w:lang w:eastAsia="zh-CN"/>
        </w:rPr>
      </w:pPr>
      <w:r>
        <w:rPr>
          <w:rFonts w:hint="eastAsia"/>
          <w:sz w:val="15"/>
          <w:szCs w:val="15"/>
        </w:rPr>
        <w:t>5</w:t>
      </w:r>
      <w:r>
        <w:rPr>
          <w:rFonts w:hint="eastAsia"/>
          <w:sz w:val="15"/>
          <w:szCs w:val="15"/>
          <w:lang w:val="en-US" w:eastAsia="zh-CN"/>
        </w:rPr>
        <w:t>.</w:t>
      </w:r>
      <w:r>
        <w:rPr>
          <w:rFonts w:hint="eastAsia"/>
          <w:sz w:val="15"/>
          <w:szCs w:val="15"/>
        </w:rPr>
        <w:t>上表所列电石、</w:t>
      </w:r>
      <w:r>
        <w:rPr>
          <w:rFonts w:hint="eastAsia"/>
          <w:sz w:val="15"/>
          <w:szCs w:val="15"/>
          <w:lang w:eastAsia="zh-CN"/>
        </w:rPr>
        <w:t>铁</w:t>
      </w:r>
      <w:r>
        <w:rPr>
          <w:rFonts w:hint="eastAsia"/>
          <w:sz w:val="15"/>
          <w:szCs w:val="15"/>
        </w:rPr>
        <w:t>合金、碳化</w:t>
      </w:r>
      <w:r>
        <w:rPr>
          <w:rFonts w:hint="eastAsia"/>
          <w:sz w:val="15"/>
          <w:szCs w:val="15"/>
          <w:lang w:eastAsia="zh-CN"/>
        </w:rPr>
        <w:t>硅</w:t>
      </w:r>
      <w:r>
        <w:rPr>
          <w:rFonts w:hint="eastAsia"/>
          <w:sz w:val="15"/>
          <w:szCs w:val="15"/>
        </w:rPr>
        <w:t>、电解</w:t>
      </w:r>
      <w:r>
        <w:rPr>
          <w:rFonts w:hint="eastAsia"/>
          <w:sz w:val="15"/>
          <w:szCs w:val="15"/>
          <w:lang w:eastAsia="zh-CN"/>
        </w:rPr>
        <w:t>铝</w:t>
      </w:r>
      <w:r>
        <w:rPr>
          <w:rFonts w:hint="eastAsia"/>
          <w:sz w:val="15"/>
          <w:szCs w:val="15"/>
        </w:rPr>
        <w:t>、单多</w:t>
      </w:r>
      <w:r>
        <w:rPr>
          <w:rFonts w:hint="eastAsia"/>
          <w:sz w:val="15"/>
          <w:szCs w:val="15"/>
          <w:lang w:eastAsia="zh-CN"/>
        </w:rPr>
        <w:t>晶硅</w:t>
      </w:r>
      <w:r>
        <w:rPr>
          <w:rFonts w:hint="eastAsia"/>
          <w:sz w:val="15"/>
          <w:szCs w:val="15"/>
        </w:rPr>
        <w:t>行业生产用电指符合</w:t>
      </w:r>
      <w:r>
        <w:rPr>
          <w:rFonts w:hint="eastAsia"/>
          <w:sz w:val="15"/>
          <w:szCs w:val="15"/>
          <w:lang w:eastAsia="zh-CN"/>
        </w:rPr>
        <w:t>国</w:t>
      </w:r>
      <w:r>
        <w:rPr>
          <w:rFonts w:hint="eastAsia"/>
          <w:sz w:val="15"/>
          <w:szCs w:val="15"/>
        </w:rPr>
        <w:t>家产业</w:t>
      </w:r>
      <w:r>
        <w:rPr>
          <w:rFonts w:hint="eastAsia"/>
          <w:sz w:val="15"/>
          <w:szCs w:val="15"/>
          <w:lang w:eastAsia="zh-CN"/>
        </w:rPr>
        <w:t>政策</w:t>
      </w:r>
      <w:r>
        <w:rPr>
          <w:rFonts w:hint="eastAsia"/>
          <w:sz w:val="15"/>
          <w:szCs w:val="15"/>
        </w:rPr>
        <w:t>达到生产规模或环保设施正</w:t>
      </w:r>
      <w:r>
        <w:rPr>
          <w:rFonts w:hint="eastAsia"/>
          <w:sz w:val="15"/>
          <w:szCs w:val="15"/>
          <w:lang w:eastAsia="zh-CN"/>
        </w:rPr>
        <w:t>常</w:t>
      </w:r>
      <w:r>
        <w:rPr>
          <w:rFonts w:hint="eastAsia"/>
          <w:sz w:val="15"/>
          <w:szCs w:val="15"/>
        </w:rPr>
        <w:t>运行且达标</w:t>
      </w:r>
      <w:r>
        <w:rPr>
          <w:rFonts w:hint="eastAsia"/>
          <w:sz w:val="15"/>
          <w:szCs w:val="15"/>
          <w:lang w:eastAsia="zh-CN"/>
        </w:rPr>
        <w:t>排</w:t>
      </w:r>
      <w:r>
        <w:rPr>
          <w:rFonts w:hint="eastAsia"/>
          <w:sz w:val="15"/>
          <w:szCs w:val="15"/>
        </w:rPr>
        <w:t>放的</w:t>
      </w:r>
      <w:r>
        <w:rPr>
          <w:rFonts w:hint="eastAsia"/>
          <w:sz w:val="15"/>
          <w:szCs w:val="15"/>
          <w:lang w:eastAsia="zh-CN"/>
        </w:rPr>
        <w:t>企</w:t>
      </w:r>
      <w:r>
        <w:rPr>
          <w:rFonts w:hint="eastAsia"/>
          <w:sz w:val="15"/>
          <w:szCs w:val="15"/>
        </w:rPr>
        <w:t>业生产用电</w:t>
      </w:r>
      <w:r>
        <w:rPr>
          <w:rFonts w:hint="eastAsia"/>
          <w:sz w:val="15"/>
          <w:szCs w:val="15"/>
          <w:lang w:eastAsia="zh-CN"/>
        </w:rPr>
        <w:t>。</w:t>
      </w:r>
    </w:p>
    <w:p>
      <w:pPr>
        <w:ind w:firstLine="300" w:firstLineChars="200"/>
        <w:rPr>
          <w:rFonts w:hint="default"/>
          <w:sz w:val="21"/>
          <w:szCs w:val="21"/>
          <w:lang w:val="en-US" w:eastAsia="zh-CN"/>
        </w:rPr>
      </w:pPr>
      <w:bookmarkStart w:id="0" w:name="_GoBack"/>
      <w:bookmarkEnd w:id="0"/>
      <w:r>
        <w:rPr>
          <w:rFonts w:hint="eastAsia"/>
          <w:sz w:val="15"/>
          <w:szCs w:val="15"/>
          <w:lang w:val="en-US" w:eastAsia="zh-CN"/>
        </w:rPr>
        <w:t>6.受电变压器容量315KVA及以上一般工商业用户可自愿选择执行工商业及其他用电的两部制或单一制电价。</w:t>
      </w:r>
    </w:p>
    <w:sectPr>
      <w:headerReference r:id="rId3" w:type="default"/>
      <w:footerReference r:id="rId4" w:type="default"/>
      <w:pgSz w:w="16838" w:h="11906" w:orient="landscape"/>
      <w:pgMar w:top="1800" w:right="1440" w:bottom="1800" w:left="1440" w:header="851" w:footer="992" w:gutter="0"/>
      <w:pgNumType w:fmt="decimal" w:start="3"/>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A012F"/>
    <w:rsid w:val="1C431C25"/>
    <w:rsid w:val="576840C7"/>
    <w:rsid w:val="602A01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Office_11.3.0.8513_F1E327BC-269C-435d-A152-05C5408002CA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2019-04-29T01:26:00Z</dcterms:created>
  <dc:creator>wjj11</dc:creator>
  <cp:lastModifiedBy>wjj11</cp:lastModifiedBy>
  <dcterms:modified xsi:type="dcterms:W3CDTF">2019-05-05T01:30:02Z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2052-11.3.0.8513</vt:lpwstr>
  </property>
</Properties>
</file>