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spacing w:line="360" w:lineRule="auto"/>
        <w:ind w:firstLine="2570" w:firstLineChars="800"/>
        <w:jc w:val="left"/>
        <w:rPr>
          <w:rFonts w:hint="eastAsia" w:ascii="仿宋_GB2312" w:hAnsi="仿宋_GB2312" w:eastAsia="仿宋_GB2312" w:cs="仿宋_GB2312"/>
          <w:b/>
          <w:color w:val="auto"/>
          <w:sz w:val="32"/>
          <w:szCs w:val="32"/>
          <w:u w:val="none"/>
          <w:lang w:eastAsia="zh-CN"/>
        </w:rPr>
      </w:pPr>
      <w:bookmarkStart w:id="0" w:name="_Toc3488"/>
      <w:bookmarkStart w:id="1" w:name="_Toc8210"/>
      <w:bookmarkStart w:id="2" w:name="_Toc2129"/>
    </w:p>
    <w:p>
      <w:pPr>
        <w:pStyle w:val="19"/>
        <w:rPr>
          <w:rFonts w:hint="eastAsia"/>
          <w:lang w:eastAsia="zh-CN"/>
        </w:rPr>
      </w:pPr>
    </w:p>
    <w:p>
      <w:pPr>
        <w:keepNext w:val="0"/>
        <w:keepLines w:val="0"/>
        <w:pageBreakBefore w:val="0"/>
        <w:widowControl w:val="0"/>
        <w:kinsoku/>
        <w:wordWrap/>
        <w:overflowPunct/>
        <w:topLinePunct w:val="0"/>
        <w:autoSpaceDE/>
        <w:autoSpaceDN/>
        <w:bidi w:val="0"/>
        <w:adjustRightInd/>
        <w:snapToGrid/>
        <w:spacing w:line="900" w:lineRule="exact"/>
        <w:jc w:val="center"/>
        <w:textAlignment w:val="auto"/>
        <w:rPr>
          <w:rFonts w:hint="eastAsia" w:ascii="方正姚体" w:hAnsi="方正姚体" w:eastAsia="方正姚体" w:cs="方正姚体"/>
          <w:b/>
          <w:bCs w:val="0"/>
          <w:color w:val="auto"/>
          <w:sz w:val="58"/>
          <w:szCs w:val="58"/>
          <w:u w:val="none"/>
          <w:lang w:eastAsia="zh-CN"/>
        </w:rPr>
      </w:pPr>
      <w:r>
        <w:rPr>
          <w:rFonts w:hint="eastAsia" w:ascii="方正姚体" w:hAnsi="方正姚体" w:eastAsia="方正姚体" w:cs="方正姚体"/>
          <w:b/>
          <w:bCs w:val="0"/>
          <w:color w:val="auto"/>
          <w:sz w:val="58"/>
          <w:szCs w:val="58"/>
          <w:u w:val="none"/>
          <w:lang w:eastAsia="zh-CN"/>
        </w:rPr>
        <w:t>平</w:t>
      </w:r>
      <w:r>
        <w:rPr>
          <w:rFonts w:hint="eastAsia" w:ascii="方正姚体" w:hAnsi="方正姚体" w:eastAsia="方正姚体" w:cs="方正姚体"/>
          <w:b/>
          <w:bCs w:val="0"/>
          <w:color w:val="auto"/>
          <w:sz w:val="58"/>
          <w:szCs w:val="58"/>
          <w:u w:val="none"/>
          <w:lang w:val="en-US" w:eastAsia="zh-CN"/>
        </w:rPr>
        <w:t xml:space="preserve"> </w:t>
      </w:r>
      <w:r>
        <w:rPr>
          <w:rFonts w:hint="eastAsia" w:ascii="方正姚体" w:hAnsi="方正姚体" w:eastAsia="方正姚体" w:cs="方正姚体"/>
          <w:b/>
          <w:bCs w:val="0"/>
          <w:color w:val="auto"/>
          <w:sz w:val="58"/>
          <w:szCs w:val="58"/>
          <w:u w:val="none"/>
          <w:lang w:eastAsia="zh-CN"/>
        </w:rPr>
        <w:t>罗</w:t>
      </w:r>
      <w:r>
        <w:rPr>
          <w:rFonts w:hint="eastAsia" w:ascii="方正姚体" w:hAnsi="方正姚体" w:eastAsia="方正姚体" w:cs="方正姚体"/>
          <w:b/>
          <w:bCs w:val="0"/>
          <w:color w:val="auto"/>
          <w:sz w:val="58"/>
          <w:szCs w:val="58"/>
          <w:u w:val="none"/>
          <w:lang w:val="en-US" w:eastAsia="zh-CN"/>
        </w:rPr>
        <w:t xml:space="preserve"> </w:t>
      </w:r>
      <w:r>
        <w:rPr>
          <w:rFonts w:hint="eastAsia" w:ascii="方正姚体" w:hAnsi="方正姚体" w:eastAsia="方正姚体" w:cs="方正姚体"/>
          <w:b/>
          <w:bCs w:val="0"/>
          <w:color w:val="auto"/>
          <w:sz w:val="58"/>
          <w:szCs w:val="58"/>
          <w:u w:val="none"/>
          <w:lang w:eastAsia="zh-CN"/>
        </w:rPr>
        <w:t>县</w:t>
      </w:r>
    </w:p>
    <w:p>
      <w:pPr>
        <w:keepNext w:val="0"/>
        <w:keepLines w:val="0"/>
        <w:pageBreakBefore w:val="0"/>
        <w:widowControl w:val="0"/>
        <w:kinsoku/>
        <w:wordWrap/>
        <w:overflowPunct/>
        <w:topLinePunct w:val="0"/>
        <w:autoSpaceDE/>
        <w:autoSpaceDN/>
        <w:bidi w:val="0"/>
        <w:adjustRightInd/>
        <w:snapToGrid/>
        <w:spacing w:line="900" w:lineRule="exact"/>
        <w:jc w:val="center"/>
        <w:textAlignment w:val="auto"/>
        <w:rPr>
          <w:rFonts w:hint="eastAsia" w:ascii="方正姚体" w:hAnsi="方正姚体" w:eastAsia="方正姚体" w:cs="方正姚体"/>
          <w:b/>
          <w:bCs w:val="0"/>
          <w:color w:val="auto"/>
          <w:sz w:val="58"/>
          <w:szCs w:val="58"/>
          <w:u w:val="none"/>
          <w:lang w:eastAsia="zh-CN"/>
        </w:rPr>
      </w:pPr>
      <w:r>
        <w:rPr>
          <w:rFonts w:hint="eastAsia" w:ascii="方正姚体" w:hAnsi="方正姚体" w:eastAsia="方正姚体" w:cs="方正姚体"/>
          <w:b/>
          <w:bCs w:val="0"/>
          <w:color w:val="auto"/>
          <w:sz w:val="58"/>
          <w:szCs w:val="58"/>
          <w:u w:val="none"/>
          <w:lang w:eastAsia="zh-CN"/>
        </w:rPr>
        <w:t>工业产业发展“十四五”规划</w:t>
      </w:r>
    </w:p>
    <w:p>
      <w:pPr>
        <w:spacing w:line="360" w:lineRule="auto"/>
        <w:jc w:val="center"/>
        <w:rPr>
          <w:rFonts w:hint="eastAsia" w:ascii="仿宋_GB2312" w:hAnsi="仿宋_GB2312" w:eastAsia="仿宋_GB2312" w:cs="仿宋_GB2312"/>
          <w:b/>
          <w:color w:val="auto"/>
          <w:sz w:val="32"/>
          <w:szCs w:val="32"/>
          <w:u w:val="none"/>
          <w:lang w:val="en-US" w:eastAsia="zh-CN"/>
        </w:rPr>
      </w:pPr>
    </w:p>
    <w:p>
      <w:pPr>
        <w:spacing w:line="360" w:lineRule="auto"/>
        <w:jc w:val="center"/>
        <w:rPr>
          <w:rFonts w:hint="default" w:ascii="仿宋_GB2312" w:hAnsi="仿宋_GB2312" w:eastAsia="仿宋_GB2312" w:cs="仿宋_GB2312"/>
          <w:b/>
          <w:color w:val="auto"/>
          <w:sz w:val="32"/>
          <w:szCs w:val="32"/>
          <w:u w:val="none"/>
          <w:lang w:val="en-US" w:eastAsia="zh-CN"/>
        </w:rPr>
      </w:pPr>
      <w:r>
        <w:rPr>
          <w:rFonts w:hint="eastAsia" w:ascii="方正姚体" w:hAnsi="方正姚体" w:eastAsia="方正姚体" w:cs="方正姚体"/>
          <w:b/>
          <w:color w:val="auto"/>
          <w:sz w:val="32"/>
          <w:szCs w:val="32"/>
          <w:u w:val="none"/>
          <w:lang w:val="en-US" w:eastAsia="zh-CN"/>
        </w:rPr>
        <w:t>（征求意见稿）</w:t>
      </w:r>
    </w:p>
    <w:p>
      <w:pPr>
        <w:rPr>
          <w:rFonts w:hint="eastAsia"/>
          <w:color w:val="auto"/>
          <w:lang w:eastAsia="zh-CN"/>
        </w:rPr>
      </w:pPr>
    </w:p>
    <w:p>
      <w:pPr>
        <w:bidi w:val="0"/>
        <w:spacing w:line="360" w:lineRule="auto"/>
        <w:jc w:val="left"/>
        <w:rPr>
          <w:rFonts w:hint="eastAsia" w:ascii="仿宋_GB2312" w:hAnsi="仿宋_GB2312" w:eastAsia="仿宋_GB2312" w:cs="仿宋_GB2312"/>
          <w:color w:val="auto"/>
          <w:sz w:val="32"/>
          <w:szCs w:val="32"/>
          <w:lang w:val="en-US" w:eastAsia="zh-CN"/>
        </w:rPr>
      </w:pPr>
    </w:p>
    <w:p>
      <w:pPr>
        <w:pStyle w:val="19"/>
        <w:rPr>
          <w:rFonts w:hint="eastAsia" w:ascii="仿宋_GB2312" w:hAnsi="仿宋_GB2312" w:eastAsia="仿宋_GB2312" w:cs="仿宋_GB2312"/>
          <w:color w:val="auto"/>
          <w:sz w:val="32"/>
          <w:szCs w:val="32"/>
          <w:lang w:val="en-US" w:eastAsia="zh-CN"/>
        </w:rPr>
      </w:pPr>
    </w:p>
    <w:p>
      <w:pPr>
        <w:pStyle w:val="19"/>
        <w:rPr>
          <w:rFonts w:hint="eastAsia" w:ascii="仿宋_GB2312" w:hAnsi="仿宋_GB2312" w:eastAsia="仿宋_GB2312" w:cs="仿宋_GB2312"/>
          <w:color w:val="auto"/>
          <w:sz w:val="32"/>
          <w:szCs w:val="32"/>
          <w:lang w:val="en-US" w:eastAsia="zh-CN"/>
        </w:rPr>
      </w:pPr>
    </w:p>
    <w:p>
      <w:pPr>
        <w:pStyle w:val="19"/>
        <w:rPr>
          <w:rFonts w:hint="eastAsia" w:ascii="仿宋_GB2312" w:hAnsi="仿宋_GB2312" w:eastAsia="仿宋_GB2312" w:cs="仿宋_GB2312"/>
          <w:color w:val="auto"/>
          <w:sz w:val="32"/>
          <w:szCs w:val="32"/>
          <w:lang w:val="en-US" w:eastAsia="zh-CN"/>
        </w:rPr>
      </w:pPr>
    </w:p>
    <w:p>
      <w:pPr>
        <w:pStyle w:val="19"/>
        <w:rPr>
          <w:rFonts w:hint="eastAsia" w:ascii="仿宋_GB2312" w:hAnsi="仿宋_GB2312" w:eastAsia="仿宋_GB2312" w:cs="仿宋_GB2312"/>
          <w:color w:val="auto"/>
          <w:sz w:val="32"/>
          <w:szCs w:val="32"/>
          <w:lang w:val="en-US" w:eastAsia="zh-CN"/>
        </w:rPr>
      </w:pPr>
    </w:p>
    <w:p>
      <w:pPr>
        <w:pStyle w:val="19"/>
        <w:rPr>
          <w:rFonts w:hint="eastAsia" w:ascii="仿宋_GB2312" w:hAnsi="仿宋_GB2312" w:eastAsia="仿宋_GB2312" w:cs="仿宋_GB2312"/>
          <w:color w:val="auto"/>
          <w:sz w:val="32"/>
          <w:szCs w:val="32"/>
          <w:lang w:val="en-US" w:eastAsia="zh-CN"/>
        </w:rPr>
      </w:pPr>
    </w:p>
    <w:p>
      <w:pPr>
        <w:pStyle w:val="19"/>
        <w:rPr>
          <w:rFonts w:hint="eastAsia" w:ascii="仿宋_GB2312" w:hAnsi="仿宋_GB2312" w:eastAsia="仿宋_GB2312" w:cs="仿宋_GB2312"/>
          <w:color w:val="auto"/>
          <w:sz w:val="32"/>
          <w:szCs w:val="32"/>
          <w:lang w:val="en-US" w:eastAsia="zh-CN"/>
        </w:rPr>
      </w:pPr>
    </w:p>
    <w:p>
      <w:pPr>
        <w:tabs>
          <w:tab w:val="left" w:pos="2644"/>
        </w:tabs>
        <w:bidi w:val="0"/>
        <w:spacing w:line="360" w:lineRule="auto"/>
        <w:jc w:val="center"/>
        <w:rPr>
          <w:rFonts w:hint="eastAsia" w:ascii="方正姚体" w:hAnsi="方正姚体" w:eastAsia="方正姚体" w:cs="方正姚体"/>
          <w:b/>
          <w:bCs/>
          <w:color w:val="auto"/>
          <w:sz w:val="36"/>
          <w:szCs w:val="36"/>
          <w:u w:val="none"/>
          <w:lang w:eastAsia="zh-CN"/>
        </w:rPr>
      </w:pPr>
      <w:r>
        <w:rPr>
          <w:rFonts w:hint="eastAsia" w:ascii="方正姚体" w:hAnsi="方正姚体" w:eastAsia="方正姚体" w:cs="方正姚体"/>
          <w:b/>
          <w:bCs/>
          <w:color w:val="auto"/>
          <w:sz w:val="36"/>
          <w:szCs w:val="36"/>
          <w:u w:val="none"/>
          <w:lang w:eastAsia="zh-CN"/>
        </w:rPr>
        <w:t>平罗县工业和信息化局</w:t>
      </w:r>
    </w:p>
    <w:p>
      <w:pPr>
        <w:pStyle w:val="9"/>
        <w:bidi w:val="0"/>
        <w:ind w:firstLine="2880" w:firstLineChars="900"/>
        <w:rPr>
          <w:rFonts w:hint="eastAsia"/>
          <w:lang w:val="en-US" w:eastAsia="zh-CN"/>
        </w:rPr>
      </w:pPr>
    </w:p>
    <w:p>
      <w:pPr>
        <w:pStyle w:val="9"/>
        <w:bidi w:val="0"/>
        <w:ind w:firstLine="2880" w:firstLineChars="900"/>
        <w:rPr>
          <w:rFonts w:hint="default" w:eastAsia="方正姚体"/>
          <w:lang w:val="en-US" w:eastAsia="zh-CN"/>
        </w:rPr>
      </w:pPr>
      <w:r>
        <w:rPr>
          <w:rFonts w:hint="eastAsia"/>
          <w:lang w:val="en-US" w:eastAsia="zh-CN"/>
        </w:rPr>
        <w:t>2022年4月</w:t>
      </w:r>
    </w:p>
    <w:p>
      <w:pPr>
        <w:tabs>
          <w:tab w:val="left" w:pos="2644"/>
        </w:tabs>
        <w:bidi w:val="0"/>
        <w:spacing w:line="360" w:lineRule="auto"/>
        <w:jc w:val="left"/>
        <w:rPr>
          <w:rFonts w:hint="eastAsia" w:ascii="仿宋_GB2312" w:hAnsi="仿宋_GB2312" w:eastAsia="仿宋_GB2312" w:cs="仿宋_GB2312"/>
          <w:b w:val="0"/>
          <w:bCs w:val="0"/>
          <w:color w:val="auto"/>
          <w:sz w:val="32"/>
          <w:szCs w:val="32"/>
          <w:u w:val="none"/>
          <w:lang w:eastAsia="zh-CN"/>
        </w:rPr>
      </w:pPr>
    </w:p>
    <w:p>
      <w:pPr>
        <w:tabs>
          <w:tab w:val="left" w:pos="944"/>
        </w:tabs>
        <w:bidi w:val="0"/>
        <w:spacing w:line="360" w:lineRule="auto"/>
        <w:jc w:val="both"/>
        <w:rPr>
          <w:rFonts w:hint="eastAsia" w:ascii="仿宋_GB2312" w:hAnsi="仿宋_GB2312" w:eastAsia="仿宋_GB2312" w:cs="仿宋_GB2312"/>
          <w:color w:val="auto"/>
          <w:kern w:val="2"/>
          <w:sz w:val="32"/>
          <w:szCs w:val="32"/>
          <w:lang w:val="en-US" w:eastAsia="zh-CN" w:bidi="ar-SA"/>
        </w:rPr>
      </w:pPr>
    </w:p>
    <w:sdt>
      <w:sdtPr>
        <w:rPr>
          <w:rFonts w:ascii="宋体" w:hAnsi="宋体" w:eastAsia="宋体" w:cs="Times New Roman"/>
          <w:kern w:val="2"/>
          <w:sz w:val="21"/>
          <w:szCs w:val="24"/>
          <w:lang w:val="en-US" w:eastAsia="zh-CN" w:bidi="ar-SA"/>
        </w:rPr>
        <w:id w:val="147473221"/>
        <w15:color w:val="DBDBDB"/>
        <w:docPartObj>
          <w:docPartGallery w:val="Table of Contents"/>
          <w:docPartUnique/>
        </w:docPartObj>
      </w:sdtPr>
      <w:sdtEndPr>
        <w:rPr>
          <w:rFonts w:hint="eastAsia" w:ascii="Calibri" w:hAnsi="Calibri" w:eastAsia="宋体" w:cs="Times New Roman"/>
          <w:color w:val="auto"/>
          <w:kern w:val="2"/>
          <w:sz w:val="21"/>
          <w:szCs w:val="24"/>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w:t>
          </w:r>
          <w:r>
            <w:rPr>
              <w:rFonts w:hint="eastAsia" w:ascii="宋体" w:hAnsi="宋体"/>
              <w:sz w:val="21"/>
              <w:lang w:val="en-US" w:eastAsia="zh-CN"/>
            </w:rPr>
            <w:t xml:space="preserve"> </w:t>
          </w:r>
          <w:r>
            <w:rPr>
              <w:rFonts w:ascii="宋体" w:hAnsi="宋体" w:eastAsia="宋体"/>
              <w:sz w:val="21"/>
            </w:rPr>
            <w:t>录</w:t>
          </w:r>
        </w:p>
        <w:p>
          <w:pPr>
            <w:pStyle w:val="14"/>
            <w:tabs>
              <w:tab w:val="right" w:leader="dot" w:pos="8732"/>
            </w:tabs>
          </w:pPr>
          <w:r>
            <w:rPr>
              <w:rFonts w:hint="eastAsia"/>
              <w:color w:val="auto"/>
              <w:lang w:val="en-US" w:eastAsia="zh-CN"/>
            </w:rPr>
            <w:fldChar w:fldCharType="begin"/>
          </w:r>
          <w:r>
            <w:rPr>
              <w:rFonts w:hint="eastAsia"/>
              <w:color w:val="auto"/>
              <w:lang w:val="en-US" w:eastAsia="zh-CN"/>
            </w:rPr>
            <w:instrText xml:space="preserve">TOC \o "1-3" \h \u </w:instrText>
          </w:r>
          <w:r>
            <w:rPr>
              <w:rFonts w:hint="eastAsia"/>
              <w:color w:val="auto"/>
              <w:lang w:val="en-US" w:eastAsia="zh-CN"/>
            </w:rPr>
            <w:fldChar w:fldCharType="separate"/>
          </w:r>
          <w:r>
            <w:rPr>
              <w:rFonts w:hint="eastAsia"/>
              <w:color w:val="auto"/>
              <w:lang w:val="en-US" w:eastAsia="zh-CN"/>
            </w:rPr>
            <w:fldChar w:fldCharType="begin"/>
          </w:r>
          <w:r>
            <w:rPr>
              <w:rFonts w:hint="eastAsia"/>
              <w:lang w:val="en-US" w:eastAsia="zh-CN"/>
            </w:rPr>
            <w:instrText xml:space="preserve"> HYPERLINK \l _Toc11369 </w:instrText>
          </w:r>
          <w:r>
            <w:rPr>
              <w:rFonts w:hint="eastAsia"/>
              <w:lang w:val="en-US" w:eastAsia="zh-CN"/>
            </w:rPr>
            <w:fldChar w:fldCharType="separate"/>
          </w:r>
          <w:r>
            <w:rPr>
              <w:rFonts w:hint="eastAsia" w:ascii="黑体" w:hAnsi="黑体" w:eastAsia="黑体" w:cs="黑体"/>
              <w:bCs w:val="0"/>
              <w:szCs w:val="32"/>
              <w:lang w:val="en-US" w:eastAsia="zh-CN"/>
            </w:rPr>
            <w:t>前  言</w:t>
          </w:r>
          <w:r>
            <w:tab/>
          </w:r>
          <w:r>
            <w:fldChar w:fldCharType="begin"/>
          </w:r>
          <w:r>
            <w:instrText xml:space="preserve"> PAGEREF _Toc11369 \h </w:instrText>
          </w:r>
          <w:r>
            <w:fldChar w:fldCharType="separate"/>
          </w:r>
          <w:r>
            <w:t>- 1 -</w:t>
          </w:r>
          <w:r>
            <w:fldChar w:fldCharType="end"/>
          </w:r>
          <w:r>
            <w:rPr>
              <w:rFonts w:hint="eastAsia"/>
              <w:color w:val="auto"/>
              <w:lang w:val="en-US" w:eastAsia="zh-CN"/>
            </w:rPr>
            <w:fldChar w:fldCharType="end"/>
          </w:r>
        </w:p>
        <w:p>
          <w:pPr>
            <w:pStyle w:val="16"/>
            <w:tabs>
              <w:tab w:val="right" w:leader="dot" w:pos="8732"/>
            </w:tabs>
          </w:pPr>
          <w:r>
            <w:rPr>
              <w:rFonts w:hint="eastAsia"/>
              <w:color w:val="auto"/>
              <w:lang w:val="en-US" w:eastAsia="zh-CN"/>
            </w:rPr>
            <w:fldChar w:fldCharType="begin"/>
          </w:r>
          <w:r>
            <w:rPr>
              <w:rFonts w:hint="eastAsia"/>
              <w:lang w:val="en-US" w:eastAsia="zh-CN"/>
            </w:rPr>
            <w:instrText xml:space="preserve"> HYPERLINK \l _Toc3030 </w:instrText>
          </w:r>
          <w:r>
            <w:rPr>
              <w:rFonts w:hint="eastAsia"/>
              <w:lang w:val="en-US" w:eastAsia="zh-CN"/>
            </w:rPr>
            <w:fldChar w:fldCharType="separate"/>
          </w:r>
          <w:r>
            <w:rPr>
              <w:rFonts w:hint="eastAsia" w:ascii="楷体" w:hAnsi="楷体" w:eastAsia="楷体" w:cs="楷体"/>
              <w:szCs w:val="32"/>
              <w:lang w:val="en-US" w:eastAsia="zh-CN"/>
            </w:rPr>
            <w:t>一、总体要求</w:t>
          </w:r>
          <w:r>
            <w:tab/>
          </w:r>
          <w:r>
            <w:fldChar w:fldCharType="begin"/>
          </w:r>
          <w:r>
            <w:instrText xml:space="preserve"> PAGEREF _Toc3030 \h </w:instrText>
          </w:r>
          <w:r>
            <w:fldChar w:fldCharType="separate"/>
          </w:r>
          <w:r>
            <w:t>- 1 -</w:t>
          </w:r>
          <w:r>
            <w:fldChar w:fldCharType="end"/>
          </w:r>
          <w:r>
            <w:rPr>
              <w:rFonts w:hint="eastAsia"/>
              <w:color w:val="auto"/>
              <w:lang w:val="en-US" w:eastAsia="zh-CN"/>
            </w:rPr>
            <w:fldChar w:fldCharType="end"/>
          </w:r>
        </w:p>
        <w:p>
          <w:pPr>
            <w:pStyle w:val="16"/>
            <w:tabs>
              <w:tab w:val="right" w:leader="dot" w:pos="8732"/>
            </w:tabs>
          </w:pPr>
          <w:r>
            <w:rPr>
              <w:rFonts w:hint="eastAsia"/>
              <w:color w:val="auto"/>
              <w:lang w:val="en-US" w:eastAsia="zh-CN"/>
            </w:rPr>
            <w:fldChar w:fldCharType="begin"/>
          </w:r>
          <w:r>
            <w:rPr>
              <w:rFonts w:hint="eastAsia"/>
              <w:lang w:val="en-US" w:eastAsia="zh-CN"/>
            </w:rPr>
            <w:instrText xml:space="preserve"> HYPERLINK \l _Toc26144 </w:instrText>
          </w:r>
          <w:r>
            <w:rPr>
              <w:rFonts w:hint="eastAsia"/>
              <w:lang w:val="en-US" w:eastAsia="zh-CN"/>
            </w:rPr>
            <w:fldChar w:fldCharType="separate"/>
          </w:r>
          <w:r>
            <w:rPr>
              <w:rFonts w:hint="eastAsia" w:ascii="楷体" w:hAnsi="楷体" w:eastAsia="楷体" w:cs="楷体"/>
              <w:szCs w:val="32"/>
              <w:lang w:val="en-US" w:eastAsia="zh-CN"/>
            </w:rPr>
            <w:t>二、编制原则</w:t>
          </w:r>
          <w:r>
            <w:tab/>
          </w:r>
          <w:r>
            <w:fldChar w:fldCharType="begin"/>
          </w:r>
          <w:r>
            <w:instrText xml:space="preserve"> PAGEREF _Toc26144 \h </w:instrText>
          </w:r>
          <w:r>
            <w:fldChar w:fldCharType="separate"/>
          </w:r>
          <w:r>
            <w:t>- 2 -</w:t>
          </w:r>
          <w:r>
            <w:fldChar w:fldCharType="end"/>
          </w:r>
          <w:r>
            <w:rPr>
              <w:rFonts w:hint="eastAsia"/>
              <w:color w:val="auto"/>
              <w:lang w:val="en-US" w:eastAsia="zh-CN"/>
            </w:rPr>
            <w:fldChar w:fldCharType="end"/>
          </w:r>
        </w:p>
        <w:p>
          <w:pPr>
            <w:pStyle w:val="16"/>
            <w:tabs>
              <w:tab w:val="right" w:leader="dot" w:pos="8732"/>
            </w:tabs>
          </w:pPr>
          <w:r>
            <w:rPr>
              <w:rFonts w:hint="eastAsia"/>
              <w:color w:val="auto"/>
              <w:lang w:val="en-US" w:eastAsia="zh-CN"/>
            </w:rPr>
            <w:fldChar w:fldCharType="begin"/>
          </w:r>
          <w:r>
            <w:rPr>
              <w:rFonts w:hint="eastAsia"/>
              <w:lang w:val="en-US" w:eastAsia="zh-CN"/>
            </w:rPr>
            <w:instrText xml:space="preserve"> HYPERLINK \l _Toc8321 </w:instrText>
          </w:r>
          <w:r>
            <w:rPr>
              <w:rFonts w:hint="eastAsia"/>
              <w:lang w:val="en-US" w:eastAsia="zh-CN"/>
            </w:rPr>
            <w:fldChar w:fldCharType="separate"/>
          </w:r>
          <w:r>
            <w:rPr>
              <w:rFonts w:hint="eastAsia" w:ascii="楷体" w:hAnsi="楷体" w:eastAsia="楷体" w:cs="楷体"/>
              <w:szCs w:val="32"/>
              <w:lang w:val="en-US" w:eastAsia="zh-CN"/>
            </w:rPr>
            <w:t>三、编制依据</w:t>
          </w:r>
          <w:r>
            <w:tab/>
          </w:r>
          <w:r>
            <w:fldChar w:fldCharType="begin"/>
          </w:r>
          <w:r>
            <w:instrText xml:space="preserve"> PAGEREF _Toc8321 \h </w:instrText>
          </w:r>
          <w:r>
            <w:fldChar w:fldCharType="separate"/>
          </w:r>
          <w:r>
            <w:t>- 2 -</w:t>
          </w:r>
          <w:r>
            <w:fldChar w:fldCharType="end"/>
          </w:r>
          <w:r>
            <w:rPr>
              <w:rFonts w:hint="eastAsia"/>
              <w:color w:val="auto"/>
              <w:lang w:val="en-US" w:eastAsia="zh-CN"/>
            </w:rPr>
            <w:fldChar w:fldCharType="end"/>
          </w:r>
        </w:p>
        <w:p>
          <w:pPr>
            <w:pStyle w:val="14"/>
            <w:tabs>
              <w:tab w:val="right" w:leader="dot" w:pos="8732"/>
            </w:tabs>
          </w:pPr>
          <w:r>
            <w:rPr>
              <w:rFonts w:hint="eastAsia"/>
              <w:color w:val="auto"/>
              <w:lang w:val="en-US" w:eastAsia="zh-CN"/>
            </w:rPr>
            <w:fldChar w:fldCharType="begin"/>
          </w:r>
          <w:r>
            <w:rPr>
              <w:rFonts w:hint="eastAsia"/>
              <w:lang w:val="en-US" w:eastAsia="zh-CN"/>
            </w:rPr>
            <w:instrText xml:space="preserve"> HYPERLINK \l _Toc15566 </w:instrText>
          </w:r>
          <w:r>
            <w:rPr>
              <w:rFonts w:hint="eastAsia"/>
              <w:lang w:val="en-US" w:eastAsia="zh-CN"/>
            </w:rPr>
            <w:fldChar w:fldCharType="separate"/>
          </w:r>
          <w:r>
            <w:rPr>
              <w:rFonts w:hint="eastAsia" w:ascii="黑体" w:hAnsi="黑体" w:eastAsia="黑体" w:cs="黑体"/>
              <w:bCs w:val="0"/>
              <w:szCs w:val="32"/>
              <w:lang w:val="en-US" w:eastAsia="zh-CN"/>
            </w:rPr>
            <w:t>第一章  发展回顾和发展环境</w:t>
          </w:r>
          <w:r>
            <w:tab/>
          </w:r>
          <w:r>
            <w:fldChar w:fldCharType="begin"/>
          </w:r>
          <w:r>
            <w:instrText xml:space="preserve"> PAGEREF _Toc15566 \h </w:instrText>
          </w:r>
          <w:r>
            <w:fldChar w:fldCharType="separate"/>
          </w:r>
          <w:r>
            <w:t>- 3 -</w:t>
          </w:r>
          <w:r>
            <w:fldChar w:fldCharType="end"/>
          </w:r>
          <w:r>
            <w:rPr>
              <w:rFonts w:hint="eastAsia"/>
              <w:color w:val="auto"/>
              <w:lang w:val="en-US" w:eastAsia="zh-CN"/>
            </w:rPr>
            <w:fldChar w:fldCharType="end"/>
          </w:r>
        </w:p>
        <w:p>
          <w:pPr>
            <w:pStyle w:val="16"/>
            <w:tabs>
              <w:tab w:val="right" w:leader="dot" w:pos="8732"/>
            </w:tabs>
          </w:pPr>
          <w:r>
            <w:rPr>
              <w:rFonts w:hint="eastAsia"/>
              <w:color w:val="auto"/>
              <w:lang w:val="en-US" w:eastAsia="zh-CN"/>
            </w:rPr>
            <w:fldChar w:fldCharType="begin"/>
          </w:r>
          <w:r>
            <w:rPr>
              <w:rFonts w:hint="eastAsia"/>
              <w:lang w:val="en-US" w:eastAsia="zh-CN"/>
            </w:rPr>
            <w:instrText xml:space="preserve"> HYPERLINK \l _Toc20488 </w:instrText>
          </w:r>
          <w:r>
            <w:rPr>
              <w:rFonts w:hint="eastAsia"/>
              <w:lang w:val="en-US" w:eastAsia="zh-CN"/>
            </w:rPr>
            <w:fldChar w:fldCharType="separate"/>
          </w:r>
          <w:r>
            <w:rPr>
              <w:rFonts w:hint="eastAsia" w:ascii="楷体" w:hAnsi="楷体" w:eastAsia="楷体" w:cs="楷体"/>
              <w:szCs w:val="32"/>
              <w:lang w:val="en-US" w:eastAsia="zh-CN"/>
            </w:rPr>
            <w:t>一、发展回顾</w:t>
          </w:r>
          <w:r>
            <w:tab/>
          </w:r>
          <w:r>
            <w:fldChar w:fldCharType="begin"/>
          </w:r>
          <w:r>
            <w:instrText xml:space="preserve"> PAGEREF _Toc20488 \h </w:instrText>
          </w:r>
          <w:r>
            <w:fldChar w:fldCharType="separate"/>
          </w:r>
          <w:r>
            <w:t>- 3 -</w:t>
          </w:r>
          <w:r>
            <w:fldChar w:fldCharType="end"/>
          </w:r>
          <w:r>
            <w:rPr>
              <w:rFonts w:hint="eastAsia"/>
              <w:color w:val="auto"/>
              <w:lang w:val="en-US" w:eastAsia="zh-CN"/>
            </w:rPr>
            <w:fldChar w:fldCharType="end"/>
          </w:r>
        </w:p>
        <w:p>
          <w:pPr>
            <w:pStyle w:val="10"/>
            <w:tabs>
              <w:tab w:val="right" w:leader="dot" w:pos="8732"/>
            </w:tabs>
          </w:pPr>
          <w:r>
            <w:rPr>
              <w:rFonts w:hint="eastAsia"/>
              <w:color w:val="auto"/>
              <w:lang w:val="en-US" w:eastAsia="zh-CN"/>
            </w:rPr>
            <w:fldChar w:fldCharType="begin"/>
          </w:r>
          <w:r>
            <w:rPr>
              <w:rFonts w:hint="eastAsia"/>
              <w:lang w:val="en-US" w:eastAsia="zh-CN"/>
            </w:rPr>
            <w:instrText xml:space="preserve"> HYPERLINK \l _Toc16041 </w:instrText>
          </w:r>
          <w:r>
            <w:rPr>
              <w:rFonts w:hint="eastAsia"/>
              <w:lang w:val="en-US" w:eastAsia="zh-CN"/>
            </w:rPr>
            <w:fldChar w:fldCharType="separate"/>
          </w:r>
          <w:r>
            <w:rPr>
              <w:rFonts w:hint="eastAsia" w:ascii="仿宋" w:hAnsi="仿宋" w:eastAsia="仿宋" w:cs="仿宋"/>
              <w:bCs/>
              <w:szCs w:val="32"/>
              <w:lang w:val="en-US" w:eastAsia="zh-CN"/>
            </w:rPr>
            <w:t>(一)</w:t>
          </w:r>
          <w:r>
            <w:rPr>
              <w:rFonts w:hint="eastAsia" w:ascii="仿宋" w:hAnsi="仿宋" w:eastAsia="仿宋" w:cs="仿宋"/>
              <w:bCs/>
              <w:lang w:val="en-US" w:eastAsia="zh-CN"/>
            </w:rPr>
            <w:t>主要成效</w:t>
          </w:r>
          <w:r>
            <w:tab/>
          </w:r>
          <w:r>
            <w:fldChar w:fldCharType="begin"/>
          </w:r>
          <w:r>
            <w:instrText xml:space="preserve"> PAGEREF _Toc16041 \h </w:instrText>
          </w:r>
          <w:r>
            <w:fldChar w:fldCharType="separate"/>
          </w:r>
          <w:r>
            <w:t>- 3 -</w:t>
          </w:r>
          <w:r>
            <w:fldChar w:fldCharType="end"/>
          </w:r>
          <w:r>
            <w:rPr>
              <w:rFonts w:hint="eastAsia"/>
              <w:color w:val="auto"/>
              <w:lang w:val="en-US" w:eastAsia="zh-CN"/>
            </w:rPr>
            <w:fldChar w:fldCharType="end"/>
          </w:r>
        </w:p>
        <w:p>
          <w:pPr>
            <w:pStyle w:val="10"/>
            <w:tabs>
              <w:tab w:val="right" w:leader="dot" w:pos="8732"/>
            </w:tabs>
          </w:pPr>
          <w:r>
            <w:rPr>
              <w:rFonts w:hint="eastAsia"/>
              <w:color w:val="auto"/>
              <w:lang w:val="en-US" w:eastAsia="zh-CN"/>
            </w:rPr>
            <w:fldChar w:fldCharType="begin"/>
          </w:r>
          <w:r>
            <w:rPr>
              <w:rFonts w:hint="eastAsia"/>
              <w:lang w:val="en-US" w:eastAsia="zh-CN"/>
            </w:rPr>
            <w:instrText xml:space="preserve"> HYPERLINK \l _Toc6090 </w:instrText>
          </w:r>
          <w:r>
            <w:rPr>
              <w:rFonts w:hint="eastAsia"/>
              <w:lang w:val="en-US" w:eastAsia="zh-CN"/>
            </w:rPr>
            <w:fldChar w:fldCharType="separate"/>
          </w:r>
          <w:r>
            <w:rPr>
              <w:rFonts w:hint="eastAsia" w:ascii="仿宋" w:hAnsi="仿宋" w:eastAsia="仿宋" w:cs="仿宋"/>
              <w:szCs w:val="32"/>
              <w:lang w:val="en-US" w:eastAsia="zh-CN"/>
            </w:rPr>
            <w:t>(二)</w:t>
          </w:r>
          <w:r>
            <w:rPr>
              <w:rFonts w:hint="eastAsia" w:ascii="仿宋" w:hAnsi="仿宋" w:eastAsia="仿宋" w:cs="仿宋"/>
              <w:szCs w:val="32"/>
              <w:lang w:eastAsia="zh-CN"/>
            </w:rPr>
            <w:t>制约发展的困难与问题</w:t>
          </w:r>
          <w:r>
            <w:tab/>
          </w:r>
          <w:r>
            <w:fldChar w:fldCharType="begin"/>
          </w:r>
          <w:r>
            <w:instrText xml:space="preserve"> PAGEREF _Toc6090 \h </w:instrText>
          </w:r>
          <w:r>
            <w:fldChar w:fldCharType="separate"/>
          </w:r>
          <w:r>
            <w:t>- 7 -</w:t>
          </w:r>
          <w:r>
            <w:fldChar w:fldCharType="end"/>
          </w:r>
          <w:r>
            <w:rPr>
              <w:rFonts w:hint="eastAsia"/>
              <w:color w:val="auto"/>
              <w:lang w:val="en-US" w:eastAsia="zh-CN"/>
            </w:rPr>
            <w:fldChar w:fldCharType="end"/>
          </w:r>
        </w:p>
        <w:p>
          <w:pPr>
            <w:pStyle w:val="16"/>
            <w:tabs>
              <w:tab w:val="right" w:leader="dot" w:pos="8732"/>
            </w:tabs>
          </w:pPr>
          <w:r>
            <w:rPr>
              <w:rFonts w:hint="eastAsia"/>
              <w:color w:val="auto"/>
              <w:lang w:val="en-US" w:eastAsia="zh-CN"/>
            </w:rPr>
            <w:fldChar w:fldCharType="begin"/>
          </w:r>
          <w:r>
            <w:rPr>
              <w:rFonts w:hint="eastAsia"/>
              <w:lang w:val="en-US" w:eastAsia="zh-CN"/>
            </w:rPr>
            <w:instrText xml:space="preserve"> HYPERLINK \l _Toc908 </w:instrText>
          </w:r>
          <w:r>
            <w:rPr>
              <w:rFonts w:hint="eastAsia"/>
              <w:lang w:val="en-US" w:eastAsia="zh-CN"/>
            </w:rPr>
            <w:fldChar w:fldCharType="separate"/>
          </w:r>
          <w:r>
            <w:rPr>
              <w:rFonts w:hint="eastAsia" w:ascii="楷体" w:hAnsi="楷体" w:eastAsia="楷体" w:cs="楷体"/>
              <w:szCs w:val="32"/>
              <w:lang w:val="en-US" w:eastAsia="zh-CN"/>
            </w:rPr>
            <w:t>二、发展环境</w:t>
          </w:r>
          <w:r>
            <w:tab/>
          </w:r>
          <w:r>
            <w:fldChar w:fldCharType="begin"/>
          </w:r>
          <w:r>
            <w:instrText xml:space="preserve"> PAGEREF _Toc908 \h </w:instrText>
          </w:r>
          <w:r>
            <w:fldChar w:fldCharType="separate"/>
          </w:r>
          <w:r>
            <w:t>- 9 -</w:t>
          </w:r>
          <w:r>
            <w:fldChar w:fldCharType="end"/>
          </w:r>
          <w:r>
            <w:rPr>
              <w:rFonts w:hint="eastAsia"/>
              <w:color w:val="auto"/>
              <w:lang w:val="en-US" w:eastAsia="zh-CN"/>
            </w:rPr>
            <w:fldChar w:fldCharType="end"/>
          </w:r>
        </w:p>
        <w:p>
          <w:pPr>
            <w:pStyle w:val="10"/>
            <w:tabs>
              <w:tab w:val="right" w:leader="dot" w:pos="8732"/>
            </w:tabs>
          </w:pPr>
          <w:r>
            <w:rPr>
              <w:rFonts w:hint="eastAsia"/>
              <w:color w:val="auto"/>
              <w:lang w:val="en-US" w:eastAsia="zh-CN"/>
            </w:rPr>
            <w:fldChar w:fldCharType="begin"/>
          </w:r>
          <w:r>
            <w:rPr>
              <w:rFonts w:hint="eastAsia"/>
              <w:lang w:val="en-US" w:eastAsia="zh-CN"/>
            </w:rPr>
            <w:instrText xml:space="preserve"> HYPERLINK \l _Toc26696 </w:instrText>
          </w:r>
          <w:r>
            <w:rPr>
              <w:rFonts w:hint="eastAsia"/>
              <w:lang w:val="en-US" w:eastAsia="zh-CN"/>
            </w:rPr>
            <w:fldChar w:fldCharType="separate"/>
          </w:r>
          <w:r>
            <w:rPr>
              <w:rFonts w:hint="eastAsia" w:ascii="仿宋" w:hAnsi="仿宋" w:eastAsia="仿宋" w:cs="仿宋"/>
              <w:szCs w:val="32"/>
              <w:lang w:val="en-US" w:eastAsia="zh-CN"/>
            </w:rPr>
            <w:t>(一)发展机遇</w:t>
          </w:r>
          <w:r>
            <w:tab/>
          </w:r>
          <w:r>
            <w:fldChar w:fldCharType="begin"/>
          </w:r>
          <w:r>
            <w:instrText xml:space="preserve"> PAGEREF _Toc26696 \h </w:instrText>
          </w:r>
          <w:r>
            <w:fldChar w:fldCharType="separate"/>
          </w:r>
          <w:r>
            <w:t>- 9 -</w:t>
          </w:r>
          <w:r>
            <w:fldChar w:fldCharType="end"/>
          </w:r>
          <w:r>
            <w:rPr>
              <w:rFonts w:hint="eastAsia"/>
              <w:color w:val="auto"/>
              <w:lang w:val="en-US" w:eastAsia="zh-CN"/>
            </w:rPr>
            <w:fldChar w:fldCharType="end"/>
          </w:r>
        </w:p>
        <w:p>
          <w:pPr>
            <w:pStyle w:val="10"/>
            <w:tabs>
              <w:tab w:val="right" w:leader="dot" w:pos="8732"/>
            </w:tabs>
          </w:pPr>
          <w:r>
            <w:rPr>
              <w:rFonts w:hint="eastAsia"/>
              <w:color w:val="auto"/>
              <w:lang w:val="en-US" w:eastAsia="zh-CN"/>
            </w:rPr>
            <w:fldChar w:fldCharType="begin"/>
          </w:r>
          <w:r>
            <w:rPr>
              <w:rFonts w:hint="eastAsia"/>
              <w:lang w:val="en-US" w:eastAsia="zh-CN"/>
            </w:rPr>
            <w:instrText xml:space="preserve"> HYPERLINK \l _Toc22972 </w:instrText>
          </w:r>
          <w:r>
            <w:rPr>
              <w:rFonts w:hint="eastAsia"/>
              <w:lang w:val="en-US" w:eastAsia="zh-CN"/>
            </w:rPr>
            <w:fldChar w:fldCharType="separate"/>
          </w:r>
          <w:r>
            <w:rPr>
              <w:rFonts w:hint="eastAsia" w:ascii="仿宋" w:hAnsi="仿宋" w:eastAsia="仿宋" w:cs="仿宋"/>
              <w:szCs w:val="32"/>
              <w:lang w:val="en-US" w:eastAsia="zh-CN"/>
            </w:rPr>
            <w:t>(二)面临挑战</w:t>
          </w:r>
          <w:r>
            <w:tab/>
          </w:r>
          <w:r>
            <w:fldChar w:fldCharType="begin"/>
          </w:r>
          <w:r>
            <w:instrText xml:space="preserve"> PAGEREF _Toc22972 \h </w:instrText>
          </w:r>
          <w:r>
            <w:fldChar w:fldCharType="separate"/>
          </w:r>
          <w:r>
            <w:t>- 11 -</w:t>
          </w:r>
          <w:r>
            <w:fldChar w:fldCharType="end"/>
          </w:r>
          <w:r>
            <w:rPr>
              <w:rFonts w:hint="eastAsia"/>
              <w:color w:val="auto"/>
              <w:lang w:val="en-US" w:eastAsia="zh-CN"/>
            </w:rPr>
            <w:fldChar w:fldCharType="end"/>
          </w:r>
        </w:p>
        <w:p>
          <w:pPr>
            <w:pStyle w:val="14"/>
            <w:tabs>
              <w:tab w:val="right" w:leader="dot" w:pos="8732"/>
            </w:tabs>
          </w:pPr>
          <w:r>
            <w:rPr>
              <w:rFonts w:hint="eastAsia"/>
              <w:color w:val="auto"/>
              <w:lang w:val="en-US" w:eastAsia="zh-CN"/>
            </w:rPr>
            <w:fldChar w:fldCharType="begin"/>
          </w:r>
          <w:r>
            <w:rPr>
              <w:rFonts w:hint="eastAsia"/>
              <w:lang w:val="en-US" w:eastAsia="zh-CN"/>
            </w:rPr>
            <w:instrText xml:space="preserve"> HYPERLINK \l _Toc8020 </w:instrText>
          </w:r>
          <w:r>
            <w:rPr>
              <w:rFonts w:hint="eastAsia"/>
              <w:lang w:val="en-US" w:eastAsia="zh-CN"/>
            </w:rPr>
            <w:fldChar w:fldCharType="separate"/>
          </w:r>
          <w:r>
            <w:rPr>
              <w:rFonts w:hint="eastAsia" w:ascii="黑体" w:hAnsi="黑体" w:eastAsia="黑体" w:cs="黑体"/>
              <w:bCs w:val="0"/>
              <w:szCs w:val="32"/>
              <w:lang w:val="en-US" w:eastAsia="zh-CN"/>
            </w:rPr>
            <w:t>第二章  总体思路和发展目标</w:t>
          </w:r>
          <w:r>
            <w:tab/>
          </w:r>
          <w:r>
            <w:fldChar w:fldCharType="begin"/>
          </w:r>
          <w:r>
            <w:instrText xml:space="preserve"> PAGEREF _Toc8020 \h </w:instrText>
          </w:r>
          <w:r>
            <w:fldChar w:fldCharType="separate"/>
          </w:r>
          <w:r>
            <w:t>- 12 -</w:t>
          </w:r>
          <w:r>
            <w:fldChar w:fldCharType="end"/>
          </w:r>
          <w:r>
            <w:rPr>
              <w:rFonts w:hint="eastAsia"/>
              <w:color w:val="auto"/>
              <w:lang w:val="en-US" w:eastAsia="zh-CN"/>
            </w:rPr>
            <w:fldChar w:fldCharType="end"/>
          </w:r>
        </w:p>
        <w:p>
          <w:pPr>
            <w:pStyle w:val="16"/>
            <w:tabs>
              <w:tab w:val="right" w:leader="dot" w:pos="8732"/>
            </w:tabs>
          </w:pPr>
          <w:r>
            <w:rPr>
              <w:rFonts w:hint="eastAsia"/>
              <w:color w:val="auto"/>
              <w:lang w:val="en-US" w:eastAsia="zh-CN"/>
            </w:rPr>
            <w:fldChar w:fldCharType="begin"/>
          </w:r>
          <w:r>
            <w:rPr>
              <w:rFonts w:hint="eastAsia"/>
              <w:lang w:val="en-US" w:eastAsia="zh-CN"/>
            </w:rPr>
            <w:instrText xml:space="preserve"> HYPERLINK \l _Toc21986 </w:instrText>
          </w:r>
          <w:r>
            <w:rPr>
              <w:rFonts w:hint="eastAsia"/>
              <w:lang w:val="en-US" w:eastAsia="zh-CN"/>
            </w:rPr>
            <w:fldChar w:fldCharType="separate"/>
          </w:r>
          <w:r>
            <w:rPr>
              <w:rFonts w:hint="eastAsia" w:ascii="楷体" w:hAnsi="楷体" w:eastAsia="楷体" w:cs="楷体"/>
              <w:szCs w:val="32"/>
              <w:lang w:val="en-US" w:eastAsia="zh-CN"/>
            </w:rPr>
            <w:t>一、指导思想</w:t>
          </w:r>
          <w:r>
            <w:tab/>
          </w:r>
          <w:r>
            <w:fldChar w:fldCharType="begin"/>
          </w:r>
          <w:r>
            <w:instrText xml:space="preserve"> PAGEREF _Toc21986 \h </w:instrText>
          </w:r>
          <w:r>
            <w:fldChar w:fldCharType="separate"/>
          </w:r>
          <w:r>
            <w:t>- 12 -</w:t>
          </w:r>
          <w:r>
            <w:fldChar w:fldCharType="end"/>
          </w:r>
          <w:r>
            <w:rPr>
              <w:rFonts w:hint="eastAsia"/>
              <w:color w:val="auto"/>
              <w:lang w:val="en-US" w:eastAsia="zh-CN"/>
            </w:rPr>
            <w:fldChar w:fldCharType="end"/>
          </w:r>
        </w:p>
        <w:p>
          <w:pPr>
            <w:pStyle w:val="16"/>
            <w:tabs>
              <w:tab w:val="right" w:leader="dot" w:pos="8732"/>
            </w:tabs>
          </w:pPr>
          <w:r>
            <w:rPr>
              <w:rFonts w:hint="eastAsia"/>
              <w:color w:val="auto"/>
              <w:lang w:val="en-US" w:eastAsia="zh-CN"/>
            </w:rPr>
            <w:fldChar w:fldCharType="begin"/>
          </w:r>
          <w:r>
            <w:rPr>
              <w:rFonts w:hint="eastAsia"/>
              <w:lang w:val="en-US" w:eastAsia="zh-CN"/>
            </w:rPr>
            <w:instrText xml:space="preserve"> HYPERLINK \l _Toc23720 </w:instrText>
          </w:r>
          <w:r>
            <w:rPr>
              <w:rFonts w:hint="eastAsia"/>
              <w:lang w:val="en-US" w:eastAsia="zh-CN"/>
            </w:rPr>
            <w:fldChar w:fldCharType="separate"/>
          </w:r>
          <w:r>
            <w:rPr>
              <w:rFonts w:hint="eastAsia" w:ascii="楷体" w:hAnsi="楷体" w:eastAsia="楷体" w:cs="楷体"/>
              <w:szCs w:val="32"/>
              <w:lang w:val="en-US" w:eastAsia="zh-CN"/>
            </w:rPr>
            <w:t>二、总体思路</w:t>
          </w:r>
          <w:r>
            <w:tab/>
          </w:r>
          <w:r>
            <w:fldChar w:fldCharType="begin"/>
          </w:r>
          <w:r>
            <w:instrText xml:space="preserve"> PAGEREF _Toc23720 \h </w:instrText>
          </w:r>
          <w:r>
            <w:fldChar w:fldCharType="separate"/>
          </w:r>
          <w:r>
            <w:t>- 13 -</w:t>
          </w:r>
          <w:r>
            <w:fldChar w:fldCharType="end"/>
          </w:r>
          <w:r>
            <w:rPr>
              <w:rFonts w:hint="eastAsia"/>
              <w:color w:val="auto"/>
              <w:lang w:val="en-US" w:eastAsia="zh-CN"/>
            </w:rPr>
            <w:fldChar w:fldCharType="end"/>
          </w:r>
        </w:p>
        <w:p>
          <w:pPr>
            <w:pStyle w:val="10"/>
            <w:tabs>
              <w:tab w:val="right" w:leader="dot" w:pos="8732"/>
            </w:tabs>
          </w:pPr>
          <w:r>
            <w:rPr>
              <w:rFonts w:hint="eastAsia"/>
              <w:color w:val="auto"/>
              <w:lang w:val="en-US" w:eastAsia="zh-CN"/>
            </w:rPr>
            <w:fldChar w:fldCharType="begin"/>
          </w:r>
          <w:r>
            <w:rPr>
              <w:rFonts w:hint="eastAsia"/>
              <w:lang w:val="en-US" w:eastAsia="zh-CN"/>
            </w:rPr>
            <w:instrText xml:space="preserve"> HYPERLINK \l _Toc18359 </w:instrText>
          </w:r>
          <w:r>
            <w:rPr>
              <w:rFonts w:hint="eastAsia"/>
              <w:lang w:val="en-US" w:eastAsia="zh-CN"/>
            </w:rPr>
            <w:fldChar w:fldCharType="separate"/>
          </w:r>
          <w:r>
            <w:rPr>
              <w:rFonts w:hint="eastAsia" w:ascii="仿宋" w:hAnsi="仿宋" w:eastAsia="仿宋" w:cs="仿宋"/>
              <w:szCs w:val="32"/>
              <w:lang w:val="en-US" w:eastAsia="zh-CN"/>
            </w:rPr>
            <w:t>(一)转型升级、创新发展</w:t>
          </w:r>
          <w:r>
            <w:tab/>
          </w:r>
          <w:r>
            <w:fldChar w:fldCharType="begin"/>
          </w:r>
          <w:r>
            <w:instrText xml:space="preserve"> PAGEREF _Toc18359 \h </w:instrText>
          </w:r>
          <w:r>
            <w:fldChar w:fldCharType="separate"/>
          </w:r>
          <w:r>
            <w:t>- 13 -</w:t>
          </w:r>
          <w:r>
            <w:fldChar w:fldCharType="end"/>
          </w:r>
          <w:r>
            <w:rPr>
              <w:rFonts w:hint="eastAsia"/>
              <w:color w:val="auto"/>
              <w:lang w:val="en-US" w:eastAsia="zh-CN"/>
            </w:rPr>
            <w:fldChar w:fldCharType="end"/>
          </w:r>
        </w:p>
        <w:p>
          <w:pPr>
            <w:pStyle w:val="10"/>
            <w:tabs>
              <w:tab w:val="right" w:leader="dot" w:pos="8732"/>
            </w:tabs>
          </w:pPr>
          <w:r>
            <w:rPr>
              <w:rFonts w:hint="eastAsia"/>
              <w:color w:val="auto"/>
              <w:lang w:val="en-US" w:eastAsia="zh-CN"/>
            </w:rPr>
            <w:fldChar w:fldCharType="begin"/>
          </w:r>
          <w:r>
            <w:rPr>
              <w:rFonts w:hint="eastAsia"/>
              <w:lang w:val="en-US" w:eastAsia="zh-CN"/>
            </w:rPr>
            <w:instrText xml:space="preserve"> HYPERLINK \l _Toc19543 </w:instrText>
          </w:r>
          <w:r>
            <w:rPr>
              <w:rFonts w:hint="eastAsia"/>
              <w:lang w:val="en-US" w:eastAsia="zh-CN"/>
            </w:rPr>
            <w:fldChar w:fldCharType="separate"/>
          </w:r>
          <w:r>
            <w:rPr>
              <w:rFonts w:hint="eastAsia" w:ascii="仿宋" w:hAnsi="仿宋" w:eastAsia="仿宋" w:cs="仿宋"/>
              <w:szCs w:val="32"/>
              <w:lang w:val="en-US" w:eastAsia="zh-CN"/>
            </w:rPr>
            <w:t>(二)龙头引领，集群发展</w:t>
          </w:r>
          <w:r>
            <w:tab/>
          </w:r>
          <w:r>
            <w:fldChar w:fldCharType="begin"/>
          </w:r>
          <w:r>
            <w:instrText xml:space="preserve"> PAGEREF _Toc19543 \h </w:instrText>
          </w:r>
          <w:r>
            <w:fldChar w:fldCharType="separate"/>
          </w:r>
          <w:r>
            <w:t>- 14 -</w:t>
          </w:r>
          <w:r>
            <w:fldChar w:fldCharType="end"/>
          </w:r>
          <w:r>
            <w:rPr>
              <w:rFonts w:hint="eastAsia"/>
              <w:color w:val="auto"/>
              <w:lang w:val="en-US" w:eastAsia="zh-CN"/>
            </w:rPr>
            <w:fldChar w:fldCharType="end"/>
          </w:r>
        </w:p>
        <w:p>
          <w:pPr>
            <w:pStyle w:val="10"/>
            <w:tabs>
              <w:tab w:val="right" w:leader="dot" w:pos="8732"/>
            </w:tabs>
          </w:pPr>
          <w:r>
            <w:rPr>
              <w:rFonts w:hint="eastAsia"/>
              <w:color w:val="auto"/>
              <w:lang w:val="en-US" w:eastAsia="zh-CN"/>
            </w:rPr>
            <w:fldChar w:fldCharType="begin"/>
          </w:r>
          <w:r>
            <w:rPr>
              <w:rFonts w:hint="eastAsia"/>
              <w:lang w:val="en-US" w:eastAsia="zh-CN"/>
            </w:rPr>
            <w:instrText xml:space="preserve"> HYPERLINK \l _Toc24889 </w:instrText>
          </w:r>
          <w:r>
            <w:rPr>
              <w:rFonts w:hint="eastAsia"/>
              <w:lang w:val="en-US" w:eastAsia="zh-CN"/>
            </w:rPr>
            <w:fldChar w:fldCharType="separate"/>
          </w:r>
          <w:r>
            <w:rPr>
              <w:rFonts w:hint="eastAsia" w:ascii="仿宋" w:hAnsi="仿宋" w:eastAsia="仿宋" w:cs="仿宋"/>
              <w:szCs w:val="32"/>
              <w:lang w:val="en-US" w:eastAsia="zh-CN"/>
            </w:rPr>
            <w:t>(三)园区集聚、协同发展</w:t>
          </w:r>
          <w:r>
            <w:tab/>
          </w:r>
          <w:r>
            <w:fldChar w:fldCharType="begin"/>
          </w:r>
          <w:r>
            <w:instrText xml:space="preserve"> PAGEREF _Toc24889 \h </w:instrText>
          </w:r>
          <w:r>
            <w:fldChar w:fldCharType="separate"/>
          </w:r>
          <w:r>
            <w:t>- 14 -</w:t>
          </w:r>
          <w:r>
            <w:fldChar w:fldCharType="end"/>
          </w:r>
          <w:r>
            <w:rPr>
              <w:rFonts w:hint="eastAsia"/>
              <w:color w:val="auto"/>
              <w:lang w:val="en-US" w:eastAsia="zh-CN"/>
            </w:rPr>
            <w:fldChar w:fldCharType="end"/>
          </w:r>
        </w:p>
        <w:p>
          <w:pPr>
            <w:pStyle w:val="10"/>
            <w:tabs>
              <w:tab w:val="right" w:leader="dot" w:pos="8732"/>
            </w:tabs>
          </w:pPr>
          <w:r>
            <w:rPr>
              <w:rFonts w:hint="eastAsia"/>
              <w:color w:val="auto"/>
              <w:lang w:val="en-US" w:eastAsia="zh-CN"/>
            </w:rPr>
            <w:fldChar w:fldCharType="begin"/>
          </w:r>
          <w:r>
            <w:rPr>
              <w:rFonts w:hint="eastAsia"/>
              <w:lang w:val="en-US" w:eastAsia="zh-CN"/>
            </w:rPr>
            <w:instrText xml:space="preserve"> HYPERLINK \l _Toc7614 </w:instrText>
          </w:r>
          <w:r>
            <w:rPr>
              <w:rFonts w:hint="eastAsia"/>
              <w:lang w:val="en-US" w:eastAsia="zh-CN"/>
            </w:rPr>
            <w:fldChar w:fldCharType="separate"/>
          </w:r>
          <w:r>
            <w:rPr>
              <w:rFonts w:hint="eastAsia" w:ascii="仿宋" w:hAnsi="仿宋" w:eastAsia="仿宋" w:cs="仿宋"/>
              <w:szCs w:val="32"/>
              <w:lang w:val="en-US" w:eastAsia="zh-CN"/>
            </w:rPr>
            <w:t>(四)节能低碳、绿色发展</w:t>
          </w:r>
          <w:r>
            <w:tab/>
          </w:r>
          <w:r>
            <w:fldChar w:fldCharType="begin"/>
          </w:r>
          <w:r>
            <w:instrText xml:space="preserve"> PAGEREF _Toc7614 \h </w:instrText>
          </w:r>
          <w:r>
            <w:fldChar w:fldCharType="separate"/>
          </w:r>
          <w:r>
            <w:t>- 14 -</w:t>
          </w:r>
          <w:r>
            <w:fldChar w:fldCharType="end"/>
          </w:r>
          <w:r>
            <w:rPr>
              <w:rFonts w:hint="eastAsia"/>
              <w:color w:val="auto"/>
              <w:lang w:val="en-US" w:eastAsia="zh-CN"/>
            </w:rPr>
            <w:fldChar w:fldCharType="end"/>
          </w:r>
        </w:p>
        <w:p>
          <w:pPr>
            <w:pStyle w:val="10"/>
            <w:tabs>
              <w:tab w:val="right" w:leader="dot" w:pos="8732"/>
            </w:tabs>
          </w:pPr>
          <w:r>
            <w:rPr>
              <w:rFonts w:hint="eastAsia"/>
              <w:color w:val="auto"/>
              <w:lang w:val="en-US" w:eastAsia="zh-CN"/>
            </w:rPr>
            <w:fldChar w:fldCharType="begin"/>
          </w:r>
          <w:r>
            <w:rPr>
              <w:rFonts w:hint="eastAsia"/>
              <w:lang w:val="en-US" w:eastAsia="zh-CN"/>
            </w:rPr>
            <w:instrText xml:space="preserve"> HYPERLINK \l _Toc3170 </w:instrText>
          </w:r>
          <w:r>
            <w:rPr>
              <w:rFonts w:hint="eastAsia"/>
              <w:lang w:val="en-US" w:eastAsia="zh-CN"/>
            </w:rPr>
            <w:fldChar w:fldCharType="separate"/>
          </w:r>
          <w:r>
            <w:rPr>
              <w:rFonts w:hint="eastAsia" w:ascii="仿宋" w:hAnsi="仿宋" w:eastAsia="仿宋" w:cs="仿宋"/>
              <w:szCs w:val="32"/>
              <w:lang w:val="en-US" w:eastAsia="zh-CN"/>
            </w:rPr>
            <w:t>(五)承接引进、开放发展</w:t>
          </w:r>
          <w:r>
            <w:tab/>
          </w:r>
          <w:r>
            <w:fldChar w:fldCharType="begin"/>
          </w:r>
          <w:r>
            <w:instrText xml:space="preserve"> PAGEREF _Toc3170 \h </w:instrText>
          </w:r>
          <w:r>
            <w:fldChar w:fldCharType="separate"/>
          </w:r>
          <w:r>
            <w:t>- 14 -</w:t>
          </w:r>
          <w:r>
            <w:fldChar w:fldCharType="end"/>
          </w:r>
          <w:r>
            <w:rPr>
              <w:rFonts w:hint="eastAsia"/>
              <w:color w:val="auto"/>
              <w:lang w:val="en-US" w:eastAsia="zh-CN"/>
            </w:rPr>
            <w:fldChar w:fldCharType="end"/>
          </w:r>
        </w:p>
        <w:p>
          <w:pPr>
            <w:pStyle w:val="16"/>
            <w:tabs>
              <w:tab w:val="right" w:leader="dot" w:pos="8732"/>
            </w:tabs>
          </w:pPr>
          <w:r>
            <w:rPr>
              <w:rFonts w:hint="eastAsia"/>
              <w:color w:val="auto"/>
              <w:lang w:val="en-US" w:eastAsia="zh-CN"/>
            </w:rPr>
            <w:fldChar w:fldCharType="begin"/>
          </w:r>
          <w:r>
            <w:rPr>
              <w:rFonts w:hint="eastAsia"/>
              <w:lang w:val="en-US" w:eastAsia="zh-CN"/>
            </w:rPr>
            <w:instrText xml:space="preserve"> HYPERLINK \l _Toc21198 </w:instrText>
          </w:r>
          <w:r>
            <w:rPr>
              <w:rFonts w:hint="eastAsia"/>
              <w:lang w:val="en-US" w:eastAsia="zh-CN"/>
            </w:rPr>
            <w:fldChar w:fldCharType="separate"/>
          </w:r>
          <w:r>
            <w:rPr>
              <w:rFonts w:hint="eastAsia" w:ascii="楷体" w:hAnsi="楷体" w:eastAsia="楷体" w:cs="楷体"/>
              <w:szCs w:val="32"/>
              <w:lang w:val="en-US" w:eastAsia="zh-CN"/>
            </w:rPr>
            <w:t>三、发展目标</w:t>
          </w:r>
          <w:r>
            <w:tab/>
          </w:r>
          <w:r>
            <w:fldChar w:fldCharType="begin"/>
          </w:r>
          <w:r>
            <w:instrText xml:space="preserve"> PAGEREF _Toc21198 \h </w:instrText>
          </w:r>
          <w:r>
            <w:fldChar w:fldCharType="separate"/>
          </w:r>
          <w:r>
            <w:t>- 15 -</w:t>
          </w:r>
          <w:r>
            <w:fldChar w:fldCharType="end"/>
          </w:r>
          <w:r>
            <w:rPr>
              <w:rFonts w:hint="eastAsia"/>
              <w:color w:val="auto"/>
              <w:lang w:val="en-US" w:eastAsia="zh-CN"/>
            </w:rPr>
            <w:fldChar w:fldCharType="end"/>
          </w:r>
        </w:p>
        <w:p>
          <w:pPr>
            <w:pStyle w:val="10"/>
            <w:tabs>
              <w:tab w:val="right" w:leader="dot" w:pos="8732"/>
            </w:tabs>
          </w:pPr>
          <w:r>
            <w:rPr>
              <w:rFonts w:hint="eastAsia"/>
              <w:color w:val="auto"/>
              <w:lang w:val="en-US" w:eastAsia="zh-CN"/>
            </w:rPr>
            <w:fldChar w:fldCharType="begin"/>
          </w:r>
          <w:r>
            <w:rPr>
              <w:rFonts w:hint="eastAsia"/>
              <w:lang w:val="en-US" w:eastAsia="zh-CN"/>
            </w:rPr>
            <w:instrText xml:space="preserve"> HYPERLINK \l _Toc2997 </w:instrText>
          </w:r>
          <w:r>
            <w:rPr>
              <w:rFonts w:hint="eastAsia"/>
              <w:lang w:val="en-US" w:eastAsia="zh-CN"/>
            </w:rPr>
            <w:fldChar w:fldCharType="separate"/>
          </w:r>
          <w:r>
            <w:rPr>
              <w:rFonts w:hint="eastAsia" w:ascii="仿宋" w:hAnsi="仿宋" w:eastAsia="仿宋" w:cs="仿宋"/>
              <w:szCs w:val="32"/>
              <w:lang w:val="en-US" w:eastAsia="zh-CN"/>
            </w:rPr>
            <w:t>(一)总量规模目标</w:t>
          </w:r>
          <w:r>
            <w:tab/>
          </w:r>
          <w:r>
            <w:fldChar w:fldCharType="begin"/>
          </w:r>
          <w:r>
            <w:instrText xml:space="preserve"> PAGEREF _Toc2997 \h </w:instrText>
          </w:r>
          <w:r>
            <w:fldChar w:fldCharType="separate"/>
          </w:r>
          <w:r>
            <w:t>- 15 -</w:t>
          </w:r>
          <w:r>
            <w:fldChar w:fldCharType="end"/>
          </w:r>
          <w:r>
            <w:rPr>
              <w:rFonts w:hint="eastAsia"/>
              <w:color w:val="auto"/>
              <w:lang w:val="en-US" w:eastAsia="zh-CN"/>
            </w:rPr>
            <w:fldChar w:fldCharType="end"/>
          </w:r>
        </w:p>
        <w:p>
          <w:pPr>
            <w:pStyle w:val="10"/>
            <w:tabs>
              <w:tab w:val="right" w:leader="dot" w:pos="8732"/>
            </w:tabs>
          </w:pPr>
          <w:r>
            <w:rPr>
              <w:rFonts w:hint="eastAsia"/>
              <w:color w:val="auto"/>
              <w:lang w:val="en-US" w:eastAsia="zh-CN"/>
            </w:rPr>
            <w:fldChar w:fldCharType="begin"/>
          </w:r>
          <w:r>
            <w:rPr>
              <w:rFonts w:hint="eastAsia"/>
              <w:lang w:val="en-US" w:eastAsia="zh-CN"/>
            </w:rPr>
            <w:instrText xml:space="preserve"> HYPERLINK \l _Toc13039 </w:instrText>
          </w:r>
          <w:r>
            <w:rPr>
              <w:rFonts w:hint="eastAsia"/>
              <w:lang w:val="en-US" w:eastAsia="zh-CN"/>
            </w:rPr>
            <w:fldChar w:fldCharType="separate"/>
          </w:r>
          <w:r>
            <w:rPr>
              <w:rFonts w:hint="eastAsia" w:ascii="仿宋" w:hAnsi="仿宋" w:eastAsia="仿宋" w:cs="仿宋"/>
              <w:szCs w:val="32"/>
              <w:lang w:val="en-US" w:eastAsia="zh-CN"/>
            </w:rPr>
            <w:t>(二)产业发展目标</w:t>
          </w:r>
          <w:r>
            <w:tab/>
          </w:r>
          <w:r>
            <w:fldChar w:fldCharType="begin"/>
          </w:r>
          <w:r>
            <w:instrText xml:space="preserve"> PAGEREF _Toc13039 \h </w:instrText>
          </w:r>
          <w:r>
            <w:fldChar w:fldCharType="separate"/>
          </w:r>
          <w:r>
            <w:t>- 15 -</w:t>
          </w:r>
          <w:r>
            <w:fldChar w:fldCharType="end"/>
          </w:r>
          <w:r>
            <w:rPr>
              <w:rFonts w:hint="eastAsia"/>
              <w:color w:val="auto"/>
              <w:lang w:val="en-US" w:eastAsia="zh-CN"/>
            </w:rPr>
            <w:fldChar w:fldCharType="end"/>
          </w:r>
        </w:p>
        <w:p>
          <w:pPr>
            <w:pStyle w:val="10"/>
            <w:tabs>
              <w:tab w:val="right" w:leader="dot" w:pos="8732"/>
            </w:tabs>
          </w:pPr>
          <w:r>
            <w:rPr>
              <w:rFonts w:hint="eastAsia"/>
              <w:color w:val="auto"/>
              <w:lang w:val="en-US" w:eastAsia="zh-CN"/>
            </w:rPr>
            <w:fldChar w:fldCharType="begin"/>
          </w:r>
          <w:r>
            <w:rPr>
              <w:rFonts w:hint="eastAsia"/>
              <w:lang w:val="en-US" w:eastAsia="zh-CN"/>
            </w:rPr>
            <w:instrText xml:space="preserve"> HYPERLINK \l _Toc17877 </w:instrText>
          </w:r>
          <w:r>
            <w:rPr>
              <w:rFonts w:hint="eastAsia"/>
              <w:lang w:val="en-US" w:eastAsia="zh-CN"/>
            </w:rPr>
            <w:fldChar w:fldCharType="separate"/>
          </w:r>
          <w:r>
            <w:rPr>
              <w:rFonts w:hint="eastAsia" w:ascii="仿宋" w:hAnsi="仿宋" w:eastAsia="仿宋" w:cs="仿宋"/>
              <w:szCs w:val="32"/>
              <w:lang w:val="en-US" w:eastAsia="zh-CN"/>
            </w:rPr>
            <w:t>(三)园区建设目标</w:t>
          </w:r>
          <w:r>
            <w:tab/>
          </w:r>
          <w:r>
            <w:fldChar w:fldCharType="begin"/>
          </w:r>
          <w:r>
            <w:instrText xml:space="preserve"> PAGEREF _Toc17877 \h </w:instrText>
          </w:r>
          <w:r>
            <w:fldChar w:fldCharType="separate"/>
          </w:r>
          <w:r>
            <w:t>- 16 -</w:t>
          </w:r>
          <w:r>
            <w:fldChar w:fldCharType="end"/>
          </w:r>
          <w:r>
            <w:rPr>
              <w:rFonts w:hint="eastAsia"/>
              <w:color w:val="auto"/>
              <w:lang w:val="en-US" w:eastAsia="zh-CN"/>
            </w:rPr>
            <w:fldChar w:fldCharType="end"/>
          </w:r>
        </w:p>
        <w:p>
          <w:pPr>
            <w:pStyle w:val="10"/>
            <w:tabs>
              <w:tab w:val="right" w:leader="dot" w:pos="8732"/>
            </w:tabs>
          </w:pPr>
          <w:r>
            <w:rPr>
              <w:rFonts w:hint="eastAsia"/>
              <w:color w:val="auto"/>
              <w:lang w:val="en-US" w:eastAsia="zh-CN"/>
            </w:rPr>
            <w:fldChar w:fldCharType="begin"/>
          </w:r>
          <w:r>
            <w:rPr>
              <w:rFonts w:hint="eastAsia"/>
              <w:lang w:val="en-US" w:eastAsia="zh-CN"/>
            </w:rPr>
            <w:instrText xml:space="preserve"> HYPERLINK \l _Toc17162 </w:instrText>
          </w:r>
          <w:r>
            <w:rPr>
              <w:rFonts w:hint="eastAsia"/>
              <w:lang w:val="en-US" w:eastAsia="zh-CN"/>
            </w:rPr>
            <w:fldChar w:fldCharType="separate"/>
          </w:r>
          <w:r>
            <w:rPr>
              <w:rFonts w:hint="eastAsia" w:ascii="仿宋" w:hAnsi="仿宋" w:eastAsia="仿宋" w:cs="仿宋"/>
              <w:szCs w:val="32"/>
              <w:lang w:val="en-US" w:eastAsia="zh-CN"/>
            </w:rPr>
            <w:t>(四)科技创新目标</w:t>
          </w:r>
          <w:r>
            <w:tab/>
          </w:r>
          <w:r>
            <w:fldChar w:fldCharType="begin"/>
          </w:r>
          <w:r>
            <w:instrText xml:space="preserve"> PAGEREF _Toc17162 \h </w:instrText>
          </w:r>
          <w:r>
            <w:fldChar w:fldCharType="separate"/>
          </w:r>
          <w:r>
            <w:t>- 18 -</w:t>
          </w:r>
          <w:r>
            <w:fldChar w:fldCharType="end"/>
          </w:r>
          <w:r>
            <w:rPr>
              <w:rFonts w:hint="eastAsia"/>
              <w:color w:val="auto"/>
              <w:lang w:val="en-US" w:eastAsia="zh-CN"/>
            </w:rPr>
            <w:fldChar w:fldCharType="end"/>
          </w:r>
        </w:p>
        <w:p>
          <w:pPr>
            <w:pStyle w:val="10"/>
            <w:tabs>
              <w:tab w:val="right" w:leader="dot" w:pos="8732"/>
            </w:tabs>
          </w:pPr>
          <w:r>
            <w:rPr>
              <w:rFonts w:hint="eastAsia"/>
              <w:color w:val="auto"/>
              <w:lang w:val="en-US" w:eastAsia="zh-CN"/>
            </w:rPr>
            <w:fldChar w:fldCharType="begin"/>
          </w:r>
          <w:r>
            <w:rPr>
              <w:rFonts w:hint="eastAsia"/>
              <w:lang w:val="en-US" w:eastAsia="zh-CN"/>
            </w:rPr>
            <w:instrText xml:space="preserve"> HYPERLINK \l _Toc7662 </w:instrText>
          </w:r>
          <w:r>
            <w:rPr>
              <w:rFonts w:hint="eastAsia"/>
              <w:lang w:val="en-US" w:eastAsia="zh-CN"/>
            </w:rPr>
            <w:fldChar w:fldCharType="separate"/>
          </w:r>
          <w:r>
            <w:rPr>
              <w:rFonts w:hint="eastAsia" w:ascii="仿宋" w:hAnsi="仿宋" w:eastAsia="仿宋" w:cs="仿宋"/>
              <w:szCs w:val="32"/>
              <w:lang w:val="en-US" w:eastAsia="zh-CN"/>
            </w:rPr>
            <w:t>(五)两化融合目标</w:t>
          </w:r>
          <w:r>
            <w:tab/>
          </w:r>
          <w:r>
            <w:fldChar w:fldCharType="begin"/>
          </w:r>
          <w:r>
            <w:instrText xml:space="preserve"> PAGEREF _Toc7662 \h </w:instrText>
          </w:r>
          <w:r>
            <w:fldChar w:fldCharType="separate"/>
          </w:r>
          <w:r>
            <w:t>- 19 -</w:t>
          </w:r>
          <w:r>
            <w:fldChar w:fldCharType="end"/>
          </w:r>
          <w:r>
            <w:rPr>
              <w:rFonts w:hint="eastAsia"/>
              <w:color w:val="auto"/>
              <w:lang w:val="en-US" w:eastAsia="zh-CN"/>
            </w:rPr>
            <w:fldChar w:fldCharType="end"/>
          </w:r>
        </w:p>
        <w:p>
          <w:pPr>
            <w:pStyle w:val="10"/>
            <w:tabs>
              <w:tab w:val="right" w:leader="dot" w:pos="8732"/>
            </w:tabs>
          </w:pPr>
          <w:r>
            <w:rPr>
              <w:rFonts w:hint="eastAsia"/>
              <w:color w:val="auto"/>
              <w:lang w:val="en-US" w:eastAsia="zh-CN"/>
            </w:rPr>
            <w:fldChar w:fldCharType="begin"/>
          </w:r>
          <w:r>
            <w:rPr>
              <w:rFonts w:hint="eastAsia"/>
              <w:lang w:val="en-US" w:eastAsia="zh-CN"/>
            </w:rPr>
            <w:instrText xml:space="preserve"> HYPERLINK \l _Toc26991 </w:instrText>
          </w:r>
          <w:r>
            <w:rPr>
              <w:rFonts w:hint="eastAsia"/>
              <w:lang w:val="en-US" w:eastAsia="zh-CN"/>
            </w:rPr>
            <w:fldChar w:fldCharType="separate"/>
          </w:r>
          <w:r>
            <w:rPr>
              <w:rFonts w:hint="eastAsia" w:ascii="仿宋" w:hAnsi="仿宋" w:eastAsia="仿宋" w:cs="仿宋"/>
              <w:szCs w:val="32"/>
              <w:lang w:val="en-US" w:eastAsia="zh-CN"/>
            </w:rPr>
            <w:t>(六)</w:t>
          </w:r>
          <w:r>
            <w:rPr>
              <w:rFonts w:hint="eastAsia" w:ascii="仿宋" w:hAnsi="仿宋" w:eastAsia="仿宋" w:cs="仿宋"/>
              <w:bCs/>
              <w:szCs w:val="32"/>
              <w:lang w:val="en-US" w:eastAsia="zh-CN"/>
            </w:rPr>
            <w:t>工业节能“双控”目标</w:t>
          </w:r>
          <w:r>
            <w:tab/>
          </w:r>
          <w:r>
            <w:fldChar w:fldCharType="begin"/>
          </w:r>
          <w:r>
            <w:instrText xml:space="preserve"> PAGEREF _Toc26991 \h </w:instrText>
          </w:r>
          <w:r>
            <w:fldChar w:fldCharType="separate"/>
          </w:r>
          <w:r>
            <w:t>- 19 -</w:t>
          </w:r>
          <w:r>
            <w:fldChar w:fldCharType="end"/>
          </w:r>
          <w:r>
            <w:rPr>
              <w:rFonts w:hint="eastAsia"/>
              <w:color w:val="auto"/>
              <w:lang w:val="en-US" w:eastAsia="zh-CN"/>
            </w:rPr>
            <w:fldChar w:fldCharType="end"/>
          </w:r>
        </w:p>
        <w:p>
          <w:pPr>
            <w:pStyle w:val="14"/>
            <w:tabs>
              <w:tab w:val="right" w:leader="dot" w:pos="8732"/>
            </w:tabs>
          </w:pPr>
          <w:r>
            <w:rPr>
              <w:rFonts w:hint="eastAsia"/>
              <w:color w:val="auto"/>
              <w:lang w:val="en-US" w:eastAsia="zh-CN"/>
            </w:rPr>
            <w:fldChar w:fldCharType="begin"/>
          </w:r>
          <w:r>
            <w:rPr>
              <w:rFonts w:hint="eastAsia"/>
              <w:lang w:val="en-US" w:eastAsia="zh-CN"/>
            </w:rPr>
            <w:instrText xml:space="preserve"> HYPERLINK \l _Toc14166 </w:instrText>
          </w:r>
          <w:r>
            <w:rPr>
              <w:rFonts w:hint="eastAsia"/>
              <w:lang w:val="en-US" w:eastAsia="zh-CN"/>
            </w:rPr>
            <w:fldChar w:fldCharType="separate"/>
          </w:r>
          <w:r>
            <w:rPr>
              <w:rFonts w:hint="eastAsia" w:ascii="黑体" w:hAnsi="黑体" w:eastAsia="黑体" w:cs="黑体"/>
              <w:bCs w:val="0"/>
              <w:szCs w:val="32"/>
              <w:lang w:val="en-US" w:eastAsia="zh-CN"/>
            </w:rPr>
            <w:t>第三章 构建生态型工业体系</w:t>
          </w:r>
          <w:r>
            <w:tab/>
          </w:r>
          <w:r>
            <w:fldChar w:fldCharType="begin"/>
          </w:r>
          <w:r>
            <w:instrText xml:space="preserve"> PAGEREF _Toc14166 \h </w:instrText>
          </w:r>
          <w:r>
            <w:fldChar w:fldCharType="separate"/>
          </w:r>
          <w:r>
            <w:t>- 20 -</w:t>
          </w:r>
          <w:r>
            <w:fldChar w:fldCharType="end"/>
          </w:r>
          <w:r>
            <w:rPr>
              <w:rFonts w:hint="eastAsia"/>
              <w:color w:val="auto"/>
              <w:lang w:val="en-US" w:eastAsia="zh-CN"/>
            </w:rPr>
            <w:fldChar w:fldCharType="end"/>
          </w:r>
        </w:p>
        <w:p>
          <w:pPr>
            <w:pStyle w:val="16"/>
            <w:tabs>
              <w:tab w:val="right" w:leader="dot" w:pos="8732"/>
            </w:tabs>
          </w:pPr>
          <w:r>
            <w:rPr>
              <w:rFonts w:hint="eastAsia"/>
              <w:color w:val="auto"/>
              <w:lang w:val="en-US" w:eastAsia="zh-CN"/>
            </w:rPr>
            <w:fldChar w:fldCharType="begin"/>
          </w:r>
          <w:r>
            <w:rPr>
              <w:rFonts w:hint="eastAsia"/>
              <w:lang w:val="en-US" w:eastAsia="zh-CN"/>
            </w:rPr>
            <w:instrText xml:space="preserve"> HYPERLINK \l _Toc11665 </w:instrText>
          </w:r>
          <w:r>
            <w:rPr>
              <w:rFonts w:hint="eastAsia"/>
              <w:lang w:val="en-US" w:eastAsia="zh-CN"/>
            </w:rPr>
            <w:fldChar w:fldCharType="separate"/>
          </w:r>
          <w:r>
            <w:rPr>
              <w:rFonts w:hint="eastAsia" w:ascii="楷体" w:hAnsi="楷体" w:eastAsia="楷体" w:cs="楷体"/>
              <w:szCs w:val="32"/>
              <w:lang w:val="en-US" w:eastAsia="zh-CN"/>
            </w:rPr>
            <w:t>一、做实做强新材料产业</w:t>
          </w:r>
          <w:r>
            <w:tab/>
          </w:r>
          <w:r>
            <w:fldChar w:fldCharType="begin"/>
          </w:r>
          <w:r>
            <w:instrText xml:space="preserve"> PAGEREF _Toc11665 \h </w:instrText>
          </w:r>
          <w:r>
            <w:fldChar w:fldCharType="separate"/>
          </w:r>
          <w:r>
            <w:t>- 20 -</w:t>
          </w:r>
          <w:r>
            <w:fldChar w:fldCharType="end"/>
          </w:r>
          <w:r>
            <w:rPr>
              <w:rFonts w:hint="eastAsia"/>
              <w:color w:val="auto"/>
              <w:lang w:val="en-US" w:eastAsia="zh-CN"/>
            </w:rPr>
            <w:fldChar w:fldCharType="end"/>
          </w:r>
        </w:p>
        <w:p>
          <w:pPr>
            <w:pStyle w:val="16"/>
            <w:tabs>
              <w:tab w:val="right" w:leader="dot" w:pos="8732"/>
            </w:tabs>
          </w:pPr>
          <w:r>
            <w:rPr>
              <w:rFonts w:hint="eastAsia"/>
              <w:color w:val="auto"/>
              <w:lang w:val="en-US" w:eastAsia="zh-CN"/>
            </w:rPr>
            <w:fldChar w:fldCharType="begin"/>
          </w:r>
          <w:r>
            <w:rPr>
              <w:rFonts w:hint="eastAsia"/>
              <w:lang w:val="en-US" w:eastAsia="zh-CN"/>
            </w:rPr>
            <w:instrText xml:space="preserve"> HYPERLINK \l _Toc6015 </w:instrText>
          </w:r>
          <w:r>
            <w:rPr>
              <w:rFonts w:hint="eastAsia"/>
              <w:lang w:val="en-US" w:eastAsia="zh-CN"/>
            </w:rPr>
            <w:fldChar w:fldCharType="separate"/>
          </w:r>
          <w:r>
            <w:rPr>
              <w:rFonts w:hint="eastAsia" w:ascii="楷体" w:hAnsi="楷体" w:eastAsia="楷体" w:cs="楷体"/>
              <w:szCs w:val="32"/>
              <w:lang w:eastAsia="zh-CN"/>
            </w:rPr>
            <w:t>二、培育壮大</w:t>
          </w:r>
          <w:r>
            <w:rPr>
              <w:rFonts w:hint="eastAsia" w:ascii="楷体" w:hAnsi="楷体" w:eastAsia="楷体" w:cs="楷体"/>
              <w:szCs w:val="32"/>
            </w:rPr>
            <w:t>先进装备制造</w:t>
          </w:r>
          <w:r>
            <w:rPr>
              <w:rFonts w:hint="eastAsia" w:ascii="楷体" w:hAnsi="楷体" w:eastAsia="楷体" w:cs="楷体"/>
              <w:szCs w:val="32"/>
              <w:lang w:eastAsia="zh-CN"/>
            </w:rPr>
            <w:t>产业</w:t>
          </w:r>
          <w:r>
            <w:tab/>
          </w:r>
          <w:r>
            <w:fldChar w:fldCharType="begin"/>
          </w:r>
          <w:r>
            <w:instrText xml:space="preserve"> PAGEREF _Toc6015 \h </w:instrText>
          </w:r>
          <w:r>
            <w:fldChar w:fldCharType="separate"/>
          </w:r>
          <w:r>
            <w:t>- 27 -</w:t>
          </w:r>
          <w:r>
            <w:fldChar w:fldCharType="end"/>
          </w:r>
          <w:r>
            <w:rPr>
              <w:rFonts w:hint="eastAsia"/>
              <w:color w:val="auto"/>
              <w:lang w:val="en-US" w:eastAsia="zh-CN"/>
            </w:rPr>
            <w:fldChar w:fldCharType="end"/>
          </w:r>
        </w:p>
        <w:p>
          <w:pPr>
            <w:pStyle w:val="16"/>
            <w:tabs>
              <w:tab w:val="right" w:leader="dot" w:pos="8732"/>
            </w:tabs>
          </w:pPr>
          <w:r>
            <w:rPr>
              <w:rFonts w:hint="eastAsia"/>
              <w:color w:val="auto"/>
              <w:lang w:val="en-US" w:eastAsia="zh-CN"/>
            </w:rPr>
            <w:fldChar w:fldCharType="begin"/>
          </w:r>
          <w:r>
            <w:rPr>
              <w:rFonts w:hint="eastAsia"/>
              <w:lang w:val="en-US" w:eastAsia="zh-CN"/>
            </w:rPr>
            <w:instrText xml:space="preserve"> HYPERLINK \l _Toc28295 </w:instrText>
          </w:r>
          <w:r>
            <w:rPr>
              <w:rFonts w:hint="eastAsia"/>
              <w:lang w:val="en-US" w:eastAsia="zh-CN"/>
            </w:rPr>
            <w:fldChar w:fldCharType="separate"/>
          </w:r>
          <w:r>
            <w:rPr>
              <w:rFonts w:hint="eastAsia" w:ascii="楷体" w:hAnsi="楷体" w:eastAsia="楷体" w:cs="楷体"/>
              <w:szCs w:val="32"/>
              <w:lang w:eastAsia="zh-CN"/>
            </w:rPr>
            <w:t>三、做实做强绿色氰胺产业</w:t>
          </w:r>
          <w:r>
            <w:tab/>
          </w:r>
          <w:r>
            <w:fldChar w:fldCharType="begin"/>
          </w:r>
          <w:r>
            <w:instrText xml:space="preserve"> PAGEREF _Toc28295 \h </w:instrText>
          </w:r>
          <w:r>
            <w:fldChar w:fldCharType="separate"/>
          </w:r>
          <w:r>
            <w:t>- 31 -</w:t>
          </w:r>
          <w:r>
            <w:fldChar w:fldCharType="end"/>
          </w:r>
          <w:r>
            <w:rPr>
              <w:rFonts w:hint="eastAsia"/>
              <w:color w:val="auto"/>
              <w:lang w:val="en-US" w:eastAsia="zh-CN"/>
            </w:rPr>
            <w:fldChar w:fldCharType="end"/>
          </w:r>
        </w:p>
        <w:p>
          <w:pPr>
            <w:pStyle w:val="16"/>
            <w:tabs>
              <w:tab w:val="right" w:leader="dot" w:pos="8732"/>
            </w:tabs>
          </w:pPr>
          <w:r>
            <w:rPr>
              <w:rFonts w:hint="eastAsia"/>
              <w:color w:val="auto"/>
              <w:lang w:val="en-US" w:eastAsia="zh-CN"/>
            </w:rPr>
            <w:fldChar w:fldCharType="begin"/>
          </w:r>
          <w:r>
            <w:rPr>
              <w:rFonts w:hint="eastAsia"/>
              <w:lang w:val="en-US" w:eastAsia="zh-CN"/>
            </w:rPr>
            <w:instrText xml:space="preserve"> HYPERLINK \l _Toc31460 </w:instrText>
          </w:r>
          <w:r>
            <w:rPr>
              <w:rFonts w:hint="eastAsia"/>
              <w:lang w:val="en-US" w:eastAsia="zh-CN"/>
            </w:rPr>
            <w:fldChar w:fldCharType="separate"/>
          </w:r>
          <w:r>
            <w:rPr>
              <w:rFonts w:hint="eastAsia" w:ascii="楷体" w:hAnsi="楷体" w:eastAsia="楷体" w:cs="楷体"/>
              <w:szCs w:val="32"/>
              <w:lang w:eastAsia="zh-CN"/>
            </w:rPr>
            <w:t>四、积极培育</w:t>
          </w:r>
          <w:r>
            <w:rPr>
              <w:rFonts w:hint="eastAsia" w:ascii="楷体" w:hAnsi="楷体" w:eastAsia="楷体" w:cs="楷体"/>
              <w:szCs w:val="32"/>
            </w:rPr>
            <w:t>清洁能源</w:t>
          </w:r>
          <w:r>
            <w:rPr>
              <w:rFonts w:hint="eastAsia" w:ascii="楷体" w:hAnsi="楷体" w:eastAsia="楷体" w:cs="楷体"/>
              <w:szCs w:val="32"/>
              <w:lang w:eastAsia="zh-CN"/>
            </w:rPr>
            <w:t>产业</w:t>
          </w:r>
          <w:r>
            <w:tab/>
          </w:r>
          <w:r>
            <w:fldChar w:fldCharType="begin"/>
          </w:r>
          <w:r>
            <w:instrText xml:space="preserve"> PAGEREF _Toc31460 \h </w:instrText>
          </w:r>
          <w:r>
            <w:fldChar w:fldCharType="separate"/>
          </w:r>
          <w:r>
            <w:t>- 33 -</w:t>
          </w:r>
          <w:r>
            <w:fldChar w:fldCharType="end"/>
          </w:r>
          <w:r>
            <w:rPr>
              <w:rFonts w:hint="eastAsia"/>
              <w:color w:val="auto"/>
              <w:lang w:val="en-US" w:eastAsia="zh-CN"/>
            </w:rPr>
            <w:fldChar w:fldCharType="end"/>
          </w:r>
        </w:p>
        <w:p>
          <w:pPr>
            <w:pStyle w:val="16"/>
            <w:tabs>
              <w:tab w:val="right" w:leader="dot" w:pos="8732"/>
            </w:tabs>
          </w:pPr>
          <w:r>
            <w:rPr>
              <w:rFonts w:hint="eastAsia"/>
              <w:color w:val="auto"/>
              <w:lang w:val="en-US" w:eastAsia="zh-CN"/>
            </w:rPr>
            <w:fldChar w:fldCharType="begin"/>
          </w:r>
          <w:r>
            <w:rPr>
              <w:rFonts w:hint="eastAsia"/>
              <w:lang w:val="en-US" w:eastAsia="zh-CN"/>
            </w:rPr>
            <w:instrText xml:space="preserve"> HYPERLINK \l _Toc29083 </w:instrText>
          </w:r>
          <w:r>
            <w:rPr>
              <w:rFonts w:hint="eastAsia"/>
              <w:lang w:val="en-US" w:eastAsia="zh-CN"/>
            </w:rPr>
            <w:fldChar w:fldCharType="separate"/>
          </w:r>
          <w:r>
            <w:rPr>
              <w:rFonts w:hint="eastAsia" w:ascii="楷体" w:hAnsi="楷体" w:eastAsia="楷体" w:cs="楷体"/>
              <w:szCs w:val="32"/>
              <w:lang w:val="en-US" w:eastAsia="zh-CN"/>
            </w:rPr>
            <w:t>五、</w:t>
          </w:r>
          <w:r>
            <w:rPr>
              <w:rFonts w:hint="eastAsia" w:ascii="楷体" w:hAnsi="楷体" w:eastAsia="楷体" w:cs="楷体"/>
              <w:szCs w:val="32"/>
              <w:lang w:eastAsia="zh-CN"/>
            </w:rPr>
            <w:t>加快发展</w:t>
          </w:r>
          <w:r>
            <w:rPr>
              <w:rFonts w:hint="eastAsia" w:ascii="楷体" w:hAnsi="楷体" w:eastAsia="楷体" w:cs="楷体"/>
              <w:szCs w:val="32"/>
            </w:rPr>
            <w:t>特色优质绿色食品</w:t>
          </w:r>
          <w:r>
            <w:tab/>
          </w:r>
          <w:r>
            <w:fldChar w:fldCharType="begin"/>
          </w:r>
          <w:r>
            <w:instrText xml:space="preserve"> PAGEREF _Toc29083 \h </w:instrText>
          </w:r>
          <w:r>
            <w:fldChar w:fldCharType="separate"/>
          </w:r>
          <w:r>
            <w:t>- 34 -</w:t>
          </w:r>
          <w:r>
            <w:fldChar w:fldCharType="end"/>
          </w:r>
          <w:r>
            <w:rPr>
              <w:rFonts w:hint="eastAsia"/>
              <w:color w:val="auto"/>
              <w:lang w:val="en-US" w:eastAsia="zh-CN"/>
            </w:rPr>
            <w:fldChar w:fldCharType="end"/>
          </w:r>
        </w:p>
        <w:p>
          <w:pPr>
            <w:pStyle w:val="16"/>
            <w:tabs>
              <w:tab w:val="right" w:leader="dot" w:pos="8732"/>
            </w:tabs>
          </w:pPr>
          <w:r>
            <w:rPr>
              <w:rFonts w:hint="eastAsia"/>
              <w:color w:val="auto"/>
              <w:lang w:val="en-US" w:eastAsia="zh-CN"/>
            </w:rPr>
            <w:fldChar w:fldCharType="begin"/>
          </w:r>
          <w:r>
            <w:rPr>
              <w:rFonts w:hint="eastAsia"/>
              <w:lang w:val="en-US" w:eastAsia="zh-CN"/>
            </w:rPr>
            <w:instrText xml:space="preserve"> HYPERLINK \l _Toc2433 </w:instrText>
          </w:r>
          <w:r>
            <w:rPr>
              <w:rFonts w:hint="eastAsia"/>
              <w:lang w:val="en-US" w:eastAsia="zh-CN"/>
            </w:rPr>
            <w:fldChar w:fldCharType="separate"/>
          </w:r>
          <w:r>
            <w:rPr>
              <w:rFonts w:hint="eastAsia" w:ascii="楷体" w:hAnsi="楷体" w:eastAsia="楷体" w:cs="楷体"/>
              <w:szCs w:val="32"/>
              <w:lang w:val="en-US" w:eastAsia="zh-CN"/>
            </w:rPr>
            <w:t>六、加快发展生产性服务业</w:t>
          </w:r>
          <w:r>
            <w:tab/>
          </w:r>
          <w:r>
            <w:fldChar w:fldCharType="begin"/>
          </w:r>
          <w:r>
            <w:instrText xml:space="preserve"> PAGEREF _Toc2433 \h </w:instrText>
          </w:r>
          <w:r>
            <w:fldChar w:fldCharType="separate"/>
          </w:r>
          <w:r>
            <w:t>- 35 -</w:t>
          </w:r>
          <w:r>
            <w:fldChar w:fldCharType="end"/>
          </w:r>
          <w:r>
            <w:rPr>
              <w:rFonts w:hint="eastAsia"/>
              <w:color w:val="auto"/>
              <w:lang w:val="en-US" w:eastAsia="zh-CN"/>
            </w:rPr>
            <w:fldChar w:fldCharType="end"/>
          </w:r>
        </w:p>
        <w:p>
          <w:pPr>
            <w:pStyle w:val="14"/>
            <w:tabs>
              <w:tab w:val="right" w:leader="dot" w:pos="8732"/>
            </w:tabs>
          </w:pPr>
          <w:r>
            <w:rPr>
              <w:rFonts w:hint="eastAsia"/>
              <w:color w:val="auto"/>
              <w:lang w:val="en-US" w:eastAsia="zh-CN"/>
            </w:rPr>
            <w:fldChar w:fldCharType="begin"/>
          </w:r>
          <w:r>
            <w:rPr>
              <w:rFonts w:hint="eastAsia"/>
              <w:lang w:val="en-US" w:eastAsia="zh-CN"/>
            </w:rPr>
            <w:instrText xml:space="preserve"> HYPERLINK \l _Toc8036 </w:instrText>
          </w:r>
          <w:r>
            <w:rPr>
              <w:rFonts w:hint="eastAsia"/>
              <w:lang w:val="en-US" w:eastAsia="zh-CN"/>
            </w:rPr>
            <w:fldChar w:fldCharType="separate"/>
          </w:r>
          <w:r>
            <w:rPr>
              <w:rFonts w:hint="eastAsia" w:ascii="黑体" w:hAnsi="黑体" w:eastAsia="黑体" w:cs="黑体"/>
              <w:bCs w:val="0"/>
              <w:szCs w:val="32"/>
              <w:lang w:val="en-US" w:eastAsia="zh-CN"/>
            </w:rPr>
            <w:t>第四章 优化产业空间布局</w:t>
          </w:r>
          <w:r>
            <w:tab/>
          </w:r>
          <w:r>
            <w:fldChar w:fldCharType="begin"/>
          </w:r>
          <w:r>
            <w:instrText xml:space="preserve"> PAGEREF _Toc8036 \h </w:instrText>
          </w:r>
          <w:r>
            <w:fldChar w:fldCharType="separate"/>
          </w:r>
          <w:r>
            <w:t>- 39 -</w:t>
          </w:r>
          <w:r>
            <w:fldChar w:fldCharType="end"/>
          </w:r>
          <w:r>
            <w:rPr>
              <w:rFonts w:hint="eastAsia"/>
              <w:color w:val="auto"/>
              <w:lang w:val="en-US" w:eastAsia="zh-CN"/>
            </w:rPr>
            <w:fldChar w:fldCharType="end"/>
          </w:r>
        </w:p>
        <w:p>
          <w:pPr>
            <w:pStyle w:val="16"/>
            <w:tabs>
              <w:tab w:val="right" w:leader="dot" w:pos="8732"/>
            </w:tabs>
          </w:pPr>
          <w:r>
            <w:rPr>
              <w:rFonts w:hint="eastAsia"/>
              <w:color w:val="auto"/>
              <w:lang w:val="en-US" w:eastAsia="zh-CN"/>
            </w:rPr>
            <w:fldChar w:fldCharType="begin"/>
          </w:r>
          <w:r>
            <w:rPr>
              <w:rFonts w:hint="eastAsia"/>
              <w:lang w:val="en-US" w:eastAsia="zh-CN"/>
            </w:rPr>
            <w:instrText xml:space="preserve"> HYPERLINK \l _Toc4071 </w:instrText>
          </w:r>
          <w:r>
            <w:rPr>
              <w:rFonts w:hint="eastAsia"/>
              <w:lang w:val="en-US" w:eastAsia="zh-CN"/>
            </w:rPr>
            <w:fldChar w:fldCharType="separate"/>
          </w:r>
          <w:r>
            <w:rPr>
              <w:rFonts w:hint="eastAsia" w:ascii="楷体" w:hAnsi="楷体" w:eastAsia="楷体" w:cs="楷体"/>
              <w:szCs w:val="32"/>
              <w:lang w:val="en-US" w:eastAsia="zh-CN"/>
            </w:rPr>
            <w:t>一、产业布局原则</w:t>
          </w:r>
          <w:r>
            <w:tab/>
          </w:r>
          <w:r>
            <w:fldChar w:fldCharType="begin"/>
          </w:r>
          <w:r>
            <w:instrText xml:space="preserve"> PAGEREF _Toc4071 \h </w:instrText>
          </w:r>
          <w:r>
            <w:fldChar w:fldCharType="separate"/>
          </w:r>
          <w:r>
            <w:t>- 40 -</w:t>
          </w:r>
          <w:r>
            <w:fldChar w:fldCharType="end"/>
          </w:r>
          <w:r>
            <w:rPr>
              <w:rFonts w:hint="eastAsia"/>
              <w:color w:val="auto"/>
              <w:lang w:val="en-US" w:eastAsia="zh-CN"/>
            </w:rPr>
            <w:fldChar w:fldCharType="end"/>
          </w:r>
        </w:p>
        <w:p>
          <w:pPr>
            <w:pStyle w:val="10"/>
            <w:tabs>
              <w:tab w:val="right" w:leader="dot" w:pos="8732"/>
            </w:tabs>
          </w:pPr>
          <w:r>
            <w:rPr>
              <w:rFonts w:hint="eastAsia"/>
              <w:color w:val="auto"/>
              <w:lang w:val="en-US" w:eastAsia="zh-CN"/>
            </w:rPr>
            <w:fldChar w:fldCharType="begin"/>
          </w:r>
          <w:r>
            <w:rPr>
              <w:rFonts w:hint="eastAsia"/>
              <w:lang w:val="en-US" w:eastAsia="zh-CN"/>
            </w:rPr>
            <w:instrText xml:space="preserve"> HYPERLINK \l _Toc1797 </w:instrText>
          </w:r>
          <w:r>
            <w:rPr>
              <w:rFonts w:hint="eastAsia"/>
              <w:lang w:val="en-US" w:eastAsia="zh-CN"/>
            </w:rPr>
            <w:fldChar w:fldCharType="separate"/>
          </w:r>
          <w:r>
            <w:rPr>
              <w:rFonts w:hint="eastAsia" w:ascii="仿宋" w:hAnsi="仿宋" w:eastAsia="仿宋" w:cs="仿宋"/>
              <w:szCs w:val="32"/>
              <w:lang w:val="en-US" w:eastAsia="zh-CN"/>
            </w:rPr>
            <w:t>(一)企业集中布局</w:t>
          </w:r>
          <w:r>
            <w:tab/>
          </w:r>
          <w:r>
            <w:fldChar w:fldCharType="begin"/>
          </w:r>
          <w:r>
            <w:instrText xml:space="preserve"> PAGEREF _Toc1797 \h </w:instrText>
          </w:r>
          <w:r>
            <w:fldChar w:fldCharType="separate"/>
          </w:r>
          <w:r>
            <w:t>- 40 -</w:t>
          </w:r>
          <w:r>
            <w:fldChar w:fldCharType="end"/>
          </w:r>
          <w:r>
            <w:rPr>
              <w:rFonts w:hint="eastAsia"/>
              <w:color w:val="auto"/>
              <w:lang w:val="en-US" w:eastAsia="zh-CN"/>
            </w:rPr>
            <w:fldChar w:fldCharType="end"/>
          </w:r>
        </w:p>
        <w:p>
          <w:pPr>
            <w:pStyle w:val="10"/>
            <w:tabs>
              <w:tab w:val="right" w:leader="dot" w:pos="8732"/>
            </w:tabs>
          </w:pPr>
          <w:r>
            <w:rPr>
              <w:rFonts w:hint="eastAsia"/>
              <w:color w:val="auto"/>
              <w:lang w:val="en-US" w:eastAsia="zh-CN"/>
            </w:rPr>
            <w:fldChar w:fldCharType="begin"/>
          </w:r>
          <w:r>
            <w:rPr>
              <w:rFonts w:hint="eastAsia"/>
              <w:lang w:val="en-US" w:eastAsia="zh-CN"/>
            </w:rPr>
            <w:instrText xml:space="preserve"> HYPERLINK \l _Toc27179 </w:instrText>
          </w:r>
          <w:r>
            <w:rPr>
              <w:rFonts w:hint="eastAsia"/>
              <w:lang w:val="en-US" w:eastAsia="zh-CN"/>
            </w:rPr>
            <w:fldChar w:fldCharType="separate"/>
          </w:r>
          <w:r>
            <w:rPr>
              <w:rFonts w:hint="eastAsia" w:ascii="仿宋" w:hAnsi="仿宋" w:eastAsia="仿宋" w:cs="仿宋"/>
              <w:lang w:val="en-US" w:eastAsia="zh-CN"/>
            </w:rPr>
            <w:t>(二)产业集聚发展</w:t>
          </w:r>
          <w:r>
            <w:tab/>
          </w:r>
          <w:r>
            <w:fldChar w:fldCharType="begin"/>
          </w:r>
          <w:r>
            <w:instrText xml:space="preserve"> PAGEREF _Toc27179 \h </w:instrText>
          </w:r>
          <w:r>
            <w:fldChar w:fldCharType="separate"/>
          </w:r>
          <w:r>
            <w:t>- 40 -</w:t>
          </w:r>
          <w:r>
            <w:fldChar w:fldCharType="end"/>
          </w:r>
          <w:r>
            <w:rPr>
              <w:rFonts w:hint="eastAsia"/>
              <w:color w:val="auto"/>
              <w:lang w:val="en-US" w:eastAsia="zh-CN"/>
            </w:rPr>
            <w:fldChar w:fldCharType="end"/>
          </w:r>
        </w:p>
        <w:p>
          <w:pPr>
            <w:pStyle w:val="10"/>
            <w:tabs>
              <w:tab w:val="right" w:leader="dot" w:pos="8732"/>
            </w:tabs>
          </w:pPr>
          <w:r>
            <w:rPr>
              <w:rFonts w:hint="eastAsia"/>
              <w:color w:val="auto"/>
              <w:lang w:val="en-US" w:eastAsia="zh-CN"/>
            </w:rPr>
            <w:fldChar w:fldCharType="begin"/>
          </w:r>
          <w:r>
            <w:rPr>
              <w:rFonts w:hint="eastAsia"/>
              <w:lang w:val="en-US" w:eastAsia="zh-CN"/>
            </w:rPr>
            <w:instrText xml:space="preserve"> HYPERLINK \l _Toc16364 </w:instrText>
          </w:r>
          <w:r>
            <w:rPr>
              <w:rFonts w:hint="eastAsia"/>
              <w:lang w:val="en-US" w:eastAsia="zh-CN"/>
            </w:rPr>
            <w:fldChar w:fldCharType="separate"/>
          </w:r>
          <w:r>
            <w:rPr>
              <w:rFonts w:hint="eastAsia" w:ascii="仿宋" w:hAnsi="仿宋" w:eastAsia="仿宋" w:cs="仿宋"/>
              <w:szCs w:val="32"/>
              <w:lang w:val="en-US" w:eastAsia="zh-CN"/>
            </w:rPr>
            <w:t>(三)资源集约利用</w:t>
          </w:r>
          <w:r>
            <w:tab/>
          </w:r>
          <w:r>
            <w:fldChar w:fldCharType="begin"/>
          </w:r>
          <w:r>
            <w:instrText xml:space="preserve"> PAGEREF _Toc16364 \h </w:instrText>
          </w:r>
          <w:r>
            <w:fldChar w:fldCharType="separate"/>
          </w:r>
          <w:r>
            <w:t>- 40 -</w:t>
          </w:r>
          <w:r>
            <w:fldChar w:fldCharType="end"/>
          </w:r>
          <w:r>
            <w:rPr>
              <w:rFonts w:hint="eastAsia"/>
              <w:color w:val="auto"/>
              <w:lang w:val="en-US" w:eastAsia="zh-CN"/>
            </w:rPr>
            <w:fldChar w:fldCharType="end"/>
          </w:r>
        </w:p>
        <w:p>
          <w:pPr>
            <w:pStyle w:val="16"/>
            <w:tabs>
              <w:tab w:val="right" w:leader="dot" w:pos="8732"/>
            </w:tabs>
          </w:pPr>
          <w:r>
            <w:rPr>
              <w:rFonts w:hint="eastAsia"/>
              <w:color w:val="auto"/>
              <w:lang w:val="en-US" w:eastAsia="zh-CN"/>
            </w:rPr>
            <w:fldChar w:fldCharType="begin"/>
          </w:r>
          <w:r>
            <w:rPr>
              <w:rFonts w:hint="eastAsia"/>
              <w:lang w:val="en-US" w:eastAsia="zh-CN"/>
            </w:rPr>
            <w:instrText xml:space="preserve"> HYPERLINK \l _Toc30458 </w:instrText>
          </w:r>
          <w:r>
            <w:rPr>
              <w:rFonts w:hint="eastAsia"/>
              <w:lang w:val="en-US" w:eastAsia="zh-CN"/>
            </w:rPr>
            <w:fldChar w:fldCharType="separate"/>
          </w:r>
          <w:r>
            <w:rPr>
              <w:rFonts w:hint="eastAsia" w:ascii="楷体" w:hAnsi="楷体" w:eastAsia="楷体" w:cs="楷体"/>
              <w:szCs w:val="32"/>
              <w:lang w:val="en-US" w:eastAsia="zh-CN"/>
            </w:rPr>
            <w:t>二、产业布局规划</w:t>
          </w:r>
          <w:r>
            <w:tab/>
          </w:r>
          <w:r>
            <w:fldChar w:fldCharType="begin"/>
          </w:r>
          <w:r>
            <w:instrText xml:space="preserve"> PAGEREF _Toc30458 \h </w:instrText>
          </w:r>
          <w:r>
            <w:fldChar w:fldCharType="separate"/>
          </w:r>
          <w:r>
            <w:t>- 41 -</w:t>
          </w:r>
          <w:r>
            <w:fldChar w:fldCharType="end"/>
          </w:r>
          <w:r>
            <w:rPr>
              <w:rFonts w:hint="eastAsia"/>
              <w:color w:val="auto"/>
              <w:lang w:val="en-US" w:eastAsia="zh-CN"/>
            </w:rPr>
            <w:fldChar w:fldCharType="end"/>
          </w:r>
        </w:p>
        <w:p>
          <w:pPr>
            <w:pStyle w:val="10"/>
            <w:tabs>
              <w:tab w:val="right" w:leader="dot" w:pos="8732"/>
            </w:tabs>
          </w:pPr>
          <w:r>
            <w:rPr>
              <w:rFonts w:hint="eastAsia"/>
              <w:color w:val="auto"/>
              <w:lang w:val="en-US" w:eastAsia="zh-CN"/>
            </w:rPr>
            <w:fldChar w:fldCharType="begin"/>
          </w:r>
          <w:r>
            <w:rPr>
              <w:rFonts w:hint="eastAsia"/>
              <w:lang w:val="en-US" w:eastAsia="zh-CN"/>
            </w:rPr>
            <w:instrText xml:space="preserve"> HYPERLINK \l _Toc18188 </w:instrText>
          </w:r>
          <w:r>
            <w:rPr>
              <w:rFonts w:hint="eastAsia"/>
              <w:lang w:val="en-US" w:eastAsia="zh-CN"/>
            </w:rPr>
            <w:fldChar w:fldCharType="separate"/>
          </w:r>
          <w:r>
            <w:rPr>
              <w:rFonts w:hint="eastAsia" w:ascii="仿宋" w:hAnsi="仿宋" w:eastAsia="仿宋" w:cs="仿宋"/>
              <w:szCs w:val="32"/>
              <w:lang w:val="en-US" w:eastAsia="zh-CN"/>
            </w:rPr>
            <w:t>(一)</w:t>
          </w:r>
          <w:r>
            <w:rPr>
              <w:rFonts w:hint="eastAsia" w:ascii="仿宋" w:hAnsi="仿宋" w:eastAsia="仿宋" w:cs="仿宋"/>
              <w:bCs/>
              <w:lang w:val="en-US" w:eastAsia="zh-CN"/>
            </w:rPr>
            <w:t>太西园（原</w:t>
          </w:r>
          <w:r>
            <w:rPr>
              <w:rFonts w:hint="eastAsia" w:ascii="仿宋" w:hAnsi="仿宋" w:eastAsia="仿宋" w:cs="仿宋"/>
              <w:bCs/>
            </w:rPr>
            <w:t>石嘴山生态经济开发区</w:t>
          </w:r>
          <w:r>
            <w:rPr>
              <w:rFonts w:hint="eastAsia" w:ascii="仿宋" w:hAnsi="仿宋" w:eastAsia="仿宋" w:cs="仿宋"/>
              <w:bCs/>
              <w:lang w:eastAsia="zh-CN"/>
            </w:rPr>
            <w:t>）</w:t>
          </w:r>
          <w:r>
            <w:tab/>
          </w:r>
          <w:r>
            <w:fldChar w:fldCharType="begin"/>
          </w:r>
          <w:r>
            <w:instrText xml:space="preserve"> PAGEREF _Toc18188 \h </w:instrText>
          </w:r>
          <w:r>
            <w:fldChar w:fldCharType="separate"/>
          </w:r>
          <w:r>
            <w:t>- 41 -</w:t>
          </w:r>
          <w:r>
            <w:fldChar w:fldCharType="end"/>
          </w:r>
          <w:r>
            <w:rPr>
              <w:rFonts w:hint="eastAsia"/>
              <w:color w:val="auto"/>
              <w:lang w:val="en-US" w:eastAsia="zh-CN"/>
            </w:rPr>
            <w:fldChar w:fldCharType="end"/>
          </w:r>
        </w:p>
        <w:p>
          <w:pPr>
            <w:pStyle w:val="10"/>
            <w:tabs>
              <w:tab w:val="right" w:leader="dot" w:pos="8732"/>
            </w:tabs>
          </w:pPr>
          <w:r>
            <w:rPr>
              <w:rFonts w:hint="eastAsia"/>
              <w:color w:val="auto"/>
              <w:lang w:val="en-US" w:eastAsia="zh-CN"/>
            </w:rPr>
            <w:fldChar w:fldCharType="begin"/>
          </w:r>
          <w:r>
            <w:rPr>
              <w:rFonts w:hint="eastAsia"/>
              <w:lang w:val="en-US" w:eastAsia="zh-CN"/>
            </w:rPr>
            <w:instrText xml:space="preserve"> HYPERLINK \l _Toc23702 </w:instrText>
          </w:r>
          <w:r>
            <w:rPr>
              <w:rFonts w:hint="eastAsia"/>
              <w:lang w:val="en-US" w:eastAsia="zh-CN"/>
            </w:rPr>
            <w:fldChar w:fldCharType="separate"/>
          </w:r>
          <w:r>
            <w:rPr>
              <w:rFonts w:hint="eastAsia" w:ascii="仿宋" w:hAnsi="仿宋" w:eastAsia="仿宋" w:cs="仿宋"/>
              <w:szCs w:val="32"/>
              <w:lang w:val="en-US" w:eastAsia="zh-CN"/>
            </w:rPr>
            <w:t>(二)崇岗园（原</w:t>
          </w:r>
          <w:r>
            <w:rPr>
              <w:rFonts w:hint="eastAsia" w:ascii="仿宋" w:hAnsi="仿宋" w:eastAsia="仿宋" w:cs="仿宋"/>
              <w:szCs w:val="32"/>
            </w:rPr>
            <w:t>平罗县煤炭集中区</w:t>
          </w:r>
          <w:r>
            <w:rPr>
              <w:rFonts w:hint="eastAsia" w:ascii="仿宋" w:hAnsi="仿宋" w:eastAsia="仿宋" w:cs="仿宋"/>
              <w:szCs w:val="32"/>
              <w:lang w:val="en-US" w:eastAsia="zh-CN"/>
            </w:rPr>
            <w:t>）</w:t>
          </w:r>
          <w:r>
            <w:tab/>
          </w:r>
          <w:r>
            <w:fldChar w:fldCharType="begin"/>
          </w:r>
          <w:r>
            <w:instrText xml:space="preserve"> PAGEREF _Toc23702 \h </w:instrText>
          </w:r>
          <w:r>
            <w:fldChar w:fldCharType="separate"/>
          </w:r>
          <w:r>
            <w:t>- 43 -</w:t>
          </w:r>
          <w:r>
            <w:fldChar w:fldCharType="end"/>
          </w:r>
          <w:r>
            <w:rPr>
              <w:rFonts w:hint="eastAsia"/>
              <w:color w:val="auto"/>
              <w:lang w:val="en-US" w:eastAsia="zh-CN"/>
            </w:rPr>
            <w:fldChar w:fldCharType="end"/>
          </w:r>
        </w:p>
        <w:p>
          <w:pPr>
            <w:pStyle w:val="10"/>
            <w:tabs>
              <w:tab w:val="right" w:leader="dot" w:pos="8732"/>
            </w:tabs>
          </w:pPr>
          <w:r>
            <w:rPr>
              <w:rFonts w:hint="eastAsia"/>
              <w:color w:val="auto"/>
              <w:lang w:val="en-US" w:eastAsia="zh-CN"/>
            </w:rPr>
            <w:fldChar w:fldCharType="begin"/>
          </w:r>
          <w:r>
            <w:rPr>
              <w:rFonts w:hint="eastAsia"/>
              <w:lang w:val="en-US" w:eastAsia="zh-CN"/>
            </w:rPr>
            <w:instrText xml:space="preserve"> HYPERLINK \l _Toc6761 </w:instrText>
          </w:r>
          <w:r>
            <w:rPr>
              <w:rFonts w:hint="eastAsia"/>
              <w:lang w:val="en-US" w:eastAsia="zh-CN"/>
            </w:rPr>
            <w:fldChar w:fldCharType="separate"/>
          </w:r>
          <w:r>
            <w:rPr>
              <w:rFonts w:hint="eastAsia" w:ascii="仿宋" w:hAnsi="仿宋" w:eastAsia="仿宋" w:cs="仿宋"/>
              <w:szCs w:val="32"/>
              <w:lang w:val="en-US" w:eastAsia="zh-CN"/>
            </w:rPr>
            <w:t>(三)红崖子园（原</w:t>
          </w:r>
          <w:r>
            <w:rPr>
              <w:rFonts w:hint="eastAsia" w:ascii="仿宋" w:hAnsi="仿宋" w:eastAsia="仿宋" w:cs="仿宋"/>
              <w:szCs w:val="32"/>
            </w:rPr>
            <w:t>宁夏精细化工基地</w:t>
          </w:r>
          <w:r>
            <w:rPr>
              <w:rFonts w:hint="eastAsia" w:ascii="仿宋" w:hAnsi="仿宋" w:eastAsia="仿宋" w:cs="仿宋"/>
              <w:szCs w:val="32"/>
              <w:lang w:val="en-US" w:eastAsia="zh-CN"/>
            </w:rPr>
            <w:t>）</w:t>
          </w:r>
          <w:r>
            <w:tab/>
          </w:r>
          <w:r>
            <w:fldChar w:fldCharType="begin"/>
          </w:r>
          <w:r>
            <w:instrText xml:space="preserve"> PAGEREF _Toc6761 \h </w:instrText>
          </w:r>
          <w:r>
            <w:fldChar w:fldCharType="separate"/>
          </w:r>
          <w:r>
            <w:t>- 44 -</w:t>
          </w:r>
          <w:r>
            <w:fldChar w:fldCharType="end"/>
          </w:r>
          <w:r>
            <w:rPr>
              <w:rFonts w:hint="eastAsia"/>
              <w:color w:val="auto"/>
              <w:lang w:val="en-US" w:eastAsia="zh-CN"/>
            </w:rPr>
            <w:fldChar w:fldCharType="end"/>
          </w:r>
        </w:p>
        <w:p>
          <w:pPr>
            <w:pStyle w:val="14"/>
            <w:tabs>
              <w:tab w:val="right" w:leader="dot" w:pos="8732"/>
            </w:tabs>
          </w:pPr>
          <w:r>
            <w:rPr>
              <w:rFonts w:hint="eastAsia"/>
              <w:color w:val="auto"/>
              <w:lang w:val="en-US" w:eastAsia="zh-CN"/>
            </w:rPr>
            <w:fldChar w:fldCharType="begin"/>
          </w:r>
          <w:r>
            <w:rPr>
              <w:rFonts w:hint="eastAsia"/>
              <w:lang w:val="en-US" w:eastAsia="zh-CN"/>
            </w:rPr>
            <w:instrText xml:space="preserve"> HYPERLINK \l _Toc30353 </w:instrText>
          </w:r>
          <w:r>
            <w:rPr>
              <w:rFonts w:hint="eastAsia"/>
              <w:lang w:val="en-US" w:eastAsia="zh-CN"/>
            </w:rPr>
            <w:fldChar w:fldCharType="separate"/>
          </w:r>
          <w:r>
            <w:rPr>
              <w:rFonts w:hint="eastAsia" w:ascii="黑体" w:hAnsi="黑体" w:eastAsia="黑体" w:cs="黑体"/>
              <w:bCs w:val="0"/>
              <w:szCs w:val="32"/>
              <w:lang w:val="en-US" w:eastAsia="zh-CN"/>
            </w:rPr>
            <w:t>第五章  推进工业转型，实施“四大改造”</w:t>
          </w:r>
          <w:r>
            <w:tab/>
          </w:r>
          <w:r>
            <w:fldChar w:fldCharType="begin"/>
          </w:r>
          <w:r>
            <w:instrText xml:space="preserve"> PAGEREF _Toc30353 \h </w:instrText>
          </w:r>
          <w:r>
            <w:fldChar w:fldCharType="separate"/>
          </w:r>
          <w:r>
            <w:t>- 46 -</w:t>
          </w:r>
          <w:r>
            <w:fldChar w:fldCharType="end"/>
          </w:r>
          <w:r>
            <w:rPr>
              <w:rFonts w:hint="eastAsia"/>
              <w:color w:val="auto"/>
              <w:lang w:val="en-US" w:eastAsia="zh-CN"/>
            </w:rPr>
            <w:fldChar w:fldCharType="end"/>
          </w:r>
        </w:p>
        <w:p>
          <w:pPr>
            <w:pStyle w:val="16"/>
            <w:tabs>
              <w:tab w:val="right" w:leader="dot" w:pos="8732"/>
            </w:tabs>
          </w:pPr>
          <w:r>
            <w:rPr>
              <w:rFonts w:hint="eastAsia"/>
              <w:color w:val="auto"/>
              <w:lang w:val="en-US" w:eastAsia="zh-CN"/>
            </w:rPr>
            <w:fldChar w:fldCharType="begin"/>
          </w:r>
          <w:r>
            <w:rPr>
              <w:rFonts w:hint="eastAsia"/>
              <w:lang w:val="en-US" w:eastAsia="zh-CN"/>
            </w:rPr>
            <w:instrText xml:space="preserve"> HYPERLINK \l _Toc11875 </w:instrText>
          </w:r>
          <w:r>
            <w:rPr>
              <w:rFonts w:hint="eastAsia"/>
              <w:lang w:val="en-US" w:eastAsia="zh-CN"/>
            </w:rPr>
            <w:fldChar w:fldCharType="separate"/>
          </w:r>
          <w:r>
            <w:rPr>
              <w:rFonts w:hint="eastAsia" w:ascii="楷体" w:hAnsi="楷体" w:eastAsia="楷体" w:cs="楷体"/>
              <w:szCs w:val="30"/>
              <w:lang w:val="en-US" w:eastAsia="zh-CN"/>
            </w:rPr>
            <w:t>一、总体目标</w:t>
          </w:r>
          <w:r>
            <w:tab/>
          </w:r>
          <w:r>
            <w:fldChar w:fldCharType="begin"/>
          </w:r>
          <w:r>
            <w:instrText xml:space="preserve"> PAGEREF _Toc11875 \h </w:instrText>
          </w:r>
          <w:r>
            <w:fldChar w:fldCharType="separate"/>
          </w:r>
          <w:r>
            <w:t>- 46 -</w:t>
          </w:r>
          <w:r>
            <w:fldChar w:fldCharType="end"/>
          </w:r>
          <w:r>
            <w:rPr>
              <w:rFonts w:hint="eastAsia"/>
              <w:color w:val="auto"/>
              <w:lang w:val="en-US" w:eastAsia="zh-CN"/>
            </w:rPr>
            <w:fldChar w:fldCharType="end"/>
          </w:r>
        </w:p>
        <w:p>
          <w:pPr>
            <w:pStyle w:val="16"/>
            <w:tabs>
              <w:tab w:val="right" w:leader="dot" w:pos="8732"/>
            </w:tabs>
          </w:pPr>
          <w:r>
            <w:rPr>
              <w:rFonts w:hint="eastAsia"/>
              <w:color w:val="auto"/>
              <w:lang w:val="en-US" w:eastAsia="zh-CN"/>
            </w:rPr>
            <w:fldChar w:fldCharType="begin"/>
          </w:r>
          <w:r>
            <w:rPr>
              <w:rFonts w:hint="eastAsia"/>
              <w:lang w:val="en-US" w:eastAsia="zh-CN"/>
            </w:rPr>
            <w:instrText xml:space="preserve"> HYPERLINK \l _Toc14971 </w:instrText>
          </w:r>
          <w:r>
            <w:rPr>
              <w:rFonts w:hint="eastAsia"/>
              <w:lang w:val="en-US" w:eastAsia="zh-CN"/>
            </w:rPr>
            <w:fldChar w:fldCharType="separate"/>
          </w:r>
          <w:r>
            <w:rPr>
              <w:rFonts w:hint="eastAsia" w:ascii="楷体" w:hAnsi="楷体" w:eastAsia="楷体" w:cs="楷体"/>
              <w:lang w:eastAsia="zh-CN"/>
            </w:rPr>
            <w:t>二、大力实施</w:t>
          </w:r>
          <w:r>
            <w:rPr>
              <w:rFonts w:hint="eastAsia" w:ascii="楷体" w:hAnsi="楷体" w:eastAsia="楷体" w:cs="楷体"/>
            </w:rPr>
            <w:t>“四大改造”，提升产业基础能力</w:t>
          </w:r>
          <w:r>
            <w:tab/>
          </w:r>
          <w:r>
            <w:fldChar w:fldCharType="begin"/>
          </w:r>
          <w:r>
            <w:instrText xml:space="preserve"> PAGEREF _Toc14971 \h </w:instrText>
          </w:r>
          <w:r>
            <w:fldChar w:fldCharType="separate"/>
          </w:r>
          <w:r>
            <w:t>- 47 -</w:t>
          </w:r>
          <w:r>
            <w:fldChar w:fldCharType="end"/>
          </w:r>
          <w:r>
            <w:rPr>
              <w:rFonts w:hint="eastAsia"/>
              <w:color w:val="auto"/>
              <w:lang w:val="en-US" w:eastAsia="zh-CN"/>
            </w:rPr>
            <w:fldChar w:fldCharType="end"/>
          </w:r>
        </w:p>
        <w:p>
          <w:pPr>
            <w:pStyle w:val="10"/>
            <w:tabs>
              <w:tab w:val="right" w:leader="dot" w:pos="8732"/>
            </w:tabs>
          </w:pPr>
          <w:r>
            <w:rPr>
              <w:rFonts w:hint="eastAsia"/>
              <w:color w:val="auto"/>
              <w:lang w:val="en-US" w:eastAsia="zh-CN"/>
            </w:rPr>
            <w:fldChar w:fldCharType="begin"/>
          </w:r>
          <w:r>
            <w:rPr>
              <w:rFonts w:hint="eastAsia"/>
              <w:lang w:val="en-US" w:eastAsia="zh-CN"/>
            </w:rPr>
            <w:instrText xml:space="preserve"> HYPERLINK \l _Toc29240 </w:instrText>
          </w:r>
          <w:r>
            <w:rPr>
              <w:rFonts w:hint="eastAsia"/>
              <w:lang w:val="en-US" w:eastAsia="zh-CN"/>
            </w:rPr>
            <w:fldChar w:fldCharType="separate"/>
          </w:r>
          <w:r>
            <w:rPr>
              <w:rFonts w:hint="eastAsia" w:ascii="仿宋" w:hAnsi="仿宋" w:eastAsia="仿宋" w:cs="仿宋"/>
              <w:szCs w:val="32"/>
              <w:lang w:val="en-US" w:eastAsia="zh-CN"/>
            </w:rPr>
            <w:t>(一)结构改造</w:t>
          </w:r>
          <w:r>
            <w:tab/>
          </w:r>
          <w:r>
            <w:fldChar w:fldCharType="begin"/>
          </w:r>
          <w:r>
            <w:instrText xml:space="preserve"> PAGEREF _Toc29240 \h </w:instrText>
          </w:r>
          <w:r>
            <w:fldChar w:fldCharType="separate"/>
          </w:r>
          <w:r>
            <w:t>- 47 -</w:t>
          </w:r>
          <w:r>
            <w:fldChar w:fldCharType="end"/>
          </w:r>
          <w:r>
            <w:rPr>
              <w:rFonts w:hint="eastAsia"/>
              <w:color w:val="auto"/>
              <w:lang w:val="en-US" w:eastAsia="zh-CN"/>
            </w:rPr>
            <w:fldChar w:fldCharType="end"/>
          </w:r>
        </w:p>
        <w:p>
          <w:pPr>
            <w:pStyle w:val="10"/>
            <w:tabs>
              <w:tab w:val="right" w:leader="dot" w:pos="8732"/>
            </w:tabs>
          </w:pPr>
          <w:r>
            <w:rPr>
              <w:rFonts w:hint="eastAsia"/>
              <w:color w:val="auto"/>
              <w:lang w:val="en-US" w:eastAsia="zh-CN"/>
            </w:rPr>
            <w:fldChar w:fldCharType="begin"/>
          </w:r>
          <w:r>
            <w:rPr>
              <w:rFonts w:hint="eastAsia"/>
              <w:lang w:val="en-US" w:eastAsia="zh-CN"/>
            </w:rPr>
            <w:instrText xml:space="preserve"> HYPERLINK \l _Toc4831 </w:instrText>
          </w:r>
          <w:r>
            <w:rPr>
              <w:rFonts w:hint="eastAsia"/>
              <w:lang w:val="en-US" w:eastAsia="zh-CN"/>
            </w:rPr>
            <w:fldChar w:fldCharType="separate"/>
          </w:r>
          <w:r>
            <w:rPr>
              <w:rFonts w:hint="eastAsia" w:ascii="仿宋" w:hAnsi="仿宋" w:eastAsia="仿宋" w:cs="仿宋"/>
              <w:szCs w:val="32"/>
              <w:lang w:val="en-US" w:eastAsia="zh-CN"/>
            </w:rPr>
            <w:t>(二)绿色改造</w:t>
          </w:r>
          <w:r>
            <w:tab/>
          </w:r>
          <w:r>
            <w:fldChar w:fldCharType="begin"/>
          </w:r>
          <w:r>
            <w:instrText xml:space="preserve"> PAGEREF _Toc4831 \h </w:instrText>
          </w:r>
          <w:r>
            <w:fldChar w:fldCharType="separate"/>
          </w:r>
          <w:r>
            <w:t>- 48 -</w:t>
          </w:r>
          <w:r>
            <w:fldChar w:fldCharType="end"/>
          </w:r>
          <w:r>
            <w:rPr>
              <w:rFonts w:hint="eastAsia"/>
              <w:color w:val="auto"/>
              <w:lang w:val="en-US" w:eastAsia="zh-CN"/>
            </w:rPr>
            <w:fldChar w:fldCharType="end"/>
          </w:r>
        </w:p>
        <w:p>
          <w:pPr>
            <w:pStyle w:val="10"/>
            <w:tabs>
              <w:tab w:val="right" w:leader="dot" w:pos="8732"/>
            </w:tabs>
          </w:pPr>
          <w:r>
            <w:rPr>
              <w:rFonts w:hint="eastAsia"/>
              <w:color w:val="auto"/>
              <w:lang w:val="en-US" w:eastAsia="zh-CN"/>
            </w:rPr>
            <w:fldChar w:fldCharType="begin"/>
          </w:r>
          <w:r>
            <w:rPr>
              <w:rFonts w:hint="eastAsia"/>
              <w:lang w:val="en-US" w:eastAsia="zh-CN"/>
            </w:rPr>
            <w:instrText xml:space="preserve"> HYPERLINK \l _Toc1411 </w:instrText>
          </w:r>
          <w:r>
            <w:rPr>
              <w:rFonts w:hint="eastAsia"/>
              <w:lang w:val="en-US" w:eastAsia="zh-CN"/>
            </w:rPr>
            <w:fldChar w:fldCharType="separate"/>
          </w:r>
          <w:r>
            <w:rPr>
              <w:rFonts w:hint="eastAsia" w:ascii="仿宋" w:hAnsi="仿宋" w:eastAsia="仿宋" w:cs="仿宋"/>
              <w:szCs w:val="32"/>
              <w:lang w:val="en-US" w:eastAsia="zh-CN"/>
            </w:rPr>
            <w:t>(三)技术改造</w:t>
          </w:r>
          <w:r>
            <w:tab/>
          </w:r>
          <w:r>
            <w:fldChar w:fldCharType="begin"/>
          </w:r>
          <w:r>
            <w:instrText xml:space="preserve"> PAGEREF _Toc1411 \h </w:instrText>
          </w:r>
          <w:r>
            <w:fldChar w:fldCharType="separate"/>
          </w:r>
          <w:r>
            <w:t>- 49 -</w:t>
          </w:r>
          <w:r>
            <w:fldChar w:fldCharType="end"/>
          </w:r>
          <w:r>
            <w:rPr>
              <w:rFonts w:hint="eastAsia"/>
              <w:color w:val="auto"/>
              <w:lang w:val="en-US" w:eastAsia="zh-CN"/>
            </w:rPr>
            <w:fldChar w:fldCharType="end"/>
          </w:r>
        </w:p>
        <w:p>
          <w:pPr>
            <w:pStyle w:val="10"/>
            <w:tabs>
              <w:tab w:val="right" w:leader="dot" w:pos="8732"/>
            </w:tabs>
          </w:pPr>
          <w:r>
            <w:rPr>
              <w:rFonts w:hint="eastAsia"/>
              <w:color w:val="auto"/>
              <w:lang w:val="en-US" w:eastAsia="zh-CN"/>
            </w:rPr>
            <w:fldChar w:fldCharType="begin"/>
          </w:r>
          <w:r>
            <w:rPr>
              <w:rFonts w:hint="eastAsia"/>
              <w:lang w:val="en-US" w:eastAsia="zh-CN"/>
            </w:rPr>
            <w:instrText xml:space="preserve"> HYPERLINK \l _Toc27455 </w:instrText>
          </w:r>
          <w:r>
            <w:rPr>
              <w:rFonts w:hint="eastAsia"/>
              <w:lang w:val="en-US" w:eastAsia="zh-CN"/>
            </w:rPr>
            <w:fldChar w:fldCharType="separate"/>
          </w:r>
          <w:r>
            <w:rPr>
              <w:rFonts w:hint="eastAsia" w:ascii="仿宋" w:hAnsi="仿宋" w:eastAsia="仿宋" w:cs="仿宋"/>
              <w:lang w:val="en-US" w:eastAsia="zh-CN"/>
            </w:rPr>
            <w:t>(四)智能改造</w:t>
          </w:r>
          <w:r>
            <w:tab/>
          </w:r>
          <w:r>
            <w:fldChar w:fldCharType="begin"/>
          </w:r>
          <w:r>
            <w:instrText xml:space="preserve"> PAGEREF _Toc27455 \h </w:instrText>
          </w:r>
          <w:r>
            <w:fldChar w:fldCharType="separate"/>
          </w:r>
          <w:r>
            <w:t>- 50 -</w:t>
          </w:r>
          <w:r>
            <w:fldChar w:fldCharType="end"/>
          </w:r>
          <w:r>
            <w:rPr>
              <w:rFonts w:hint="eastAsia"/>
              <w:color w:val="auto"/>
              <w:lang w:val="en-US" w:eastAsia="zh-CN"/>
            </w:rPr>
            <w:fldChar w:fldCharType="end"/>
          </w:r>
        </w:p>
        <w:p>
          <w:pPr>
            <w:pStyle w:val="14"/>
            <w:tabs>
              <w:tab w:val="right" w:leader="dot" w:pos="8732"/>
            </w:tabs>
          </w:pPr>
          <w:r>
            <w:rPr>
              <w:rFonts w:hint="eastAsia"/>
              <w:color w:val="auto"/>
              <w:lang w:val="en-US" w:eastAsia="zh-CN"/>
            </w:rPr>
            <w:fldChar w:fldCharType="begin"/>
          </w:r>
          <w:r>
            <w:rPr>
              <w:rFonts w:hint="eastAsia"/>
              <w:lang w:val="en-US" w:eastAsia="zh-CN"/>
            </w:rPr>
            <w:instrText xml:space="preserve"> HYPERLINK \l _Toc3781 </w:instrText>
          </w:r>
          <w:r>
            <w:rPr>
              <w:rFonts w:hint="eastAsia"/>
              <w:lang w:val="en-US" w:eastAsia="zh-CN"/>
            </w:rPr>
            <w:fldChar w:fldCharType="separate"/>
          </w:r>
          <w:r>
            <w:rPr>
              <w:rFonts w:hint="eastAsia" w:ascii="黑体" w:hAnsi="黑体" w:eastAsia="黑体" w:cs="黑体"/>
              <w:bCs w:val="0"/>
              <w:szCs w:val="32"/>
              <w:lang w:val="en-US" w:eastAsia="zh-CN"/>
            </w:rPr>
            <w:t>第六章  夯实支撑体系</w:t>
          </w:r>
          <w:r>
            <w:tab/>
          </w:r>
          <w:r>
            <w:fldChar w:fldCharType="begin"/>
          </w:r>
          <w:r>
            <w:instrText xml:space="preserve"> PAGEREF _Toc3781 \h </w:instrText>
          </w:r>
          <w:r>
            <w:fldChar w:fldCharType="separate"/>
          </w:r>
          <w:r>
            <w:t>- 51 -</w:t>
          </w:r>
          <w:r>
            <w:fldChar w:fldCharType="end"/>
          </w:r>
          <w:r>
            <w:rPr>
              <w:rFonts w:hint="eastAsia"/>
              <w:color w:val="auto"/>
              <w:lang w:val="en-US" w:eastAsia="zh-CN"/>
            </w:rPr>
            <w:fldChar w:fldCharType="end"/>
          </w:r>
        </w:p>
        <w:p>
          <w:pPr>
            <w:pStyle w:val="16"/>
            <w:tabs>
              <w:tab w:val="right" w:leader="dot" w:pos="8732"/>
            </w:tabs>
          </w:pPr>
          <w:r>
            <w:rPr>
              <w:rFonts w:hint="eastAsia"/>
              <w:color w:val="auto"/>
              <w:lang w:val="en-US" w:eastAsia="zh-CN"/>
            </w:rPr>
            <w:fldChar w:fldCharType="begin"/>
          </w:r>
          <w:r>
            <w:rPr>
              <w:rFonts w:hint="eastAsia"/>
              <w:lang w:val="en-US" w:eastAsia="zh-CN"/>
            </w:rPr>
            <w:instrText xml:space="preserve"> HYPERLINK \l _Toc15607 </w:instrText>
          </w:r>
          <w:r>
            <w:rPr>
              <w:rFonts w:hint="eastAsia"/>
              <w:lang w:val="en-US" w:eastAsia="zh-CN"/>
            </w:rPr>
            <w:fldChar w:fldCharType="separate"/>
          </w:r>
          <w:r>
            <w:rPr>
              <w:rFonts w:hint="eastAsia" w:ascii="楷体" w:hAnsi="楷体" w:eastAsia="楷体" w:cs="楷体"/>
              <w:szCs w:val="32"/>
              <w:lang w:val="en-US" w:eastAsia="zh-CN"/>
            </w:rPr>
            <w:t>一、土地利用支撑</w:t>
          </w:r>
          <w:r>
            <w:tab/>
          </w:r>
          <w:r>
            <w:fldChar w:fldCharType="begin"/>
          </w:r>
          <w:r>
            <w:instrText xml:space="preserve"> PAGEREF _Toc15607 \h </w:instrText>
          </w:r>
          <w:r>
            <w:fldChar w:fldCharType="separate"/>
          </w:r>
          <w:r>
            <w:t>- 51 -</w:t>
          </w:r>
          <w:r>
            <w:fldChar w:fldCharType="end"/>
          </w:r>
          <w:r>
            <w:rPr>
              <w:rFonts w:hint="eastAsia"/>
              <w:color w:val="auto"/>
              <w:lang w:val="en-US" w:eastAsia="zh-CN"/>
            </w:rPr>
            <w:fldChar w:fldCharType="end"/>
          </w:r>
        </w:p>
        <w:p>
          <w:pPr>
            <w:pStyle w:val="10"/>
            <w:tabs>
              <w:tab w:val="right" w:leader="dot" w:pos="8732"/>
            </w:tabs>
          </w:pPr>
          <w:r>
            <w:rPr>
              <w:rFonts w:hint="eastAsia"/>
              <w:color w:val="auto"/>
              <w:lang w:val="en-US" w:eastAsia="zh-CN"/>
            </w:rPr>
            <w:fldChar w:fldCharType="begin"/>
          </w:r>
          <w:r>
            <w:rPr>
              <w:rFonts w:hint="eastAsia"/>
              <w:lang w:val="en-US" w:eastAsia="zh-CN"/>
            </w:rPr>
            <w:instrText xml:space="preserve"> HYPERLINK \l _Toc25411 </w:instrText>
          </w:r>
          <w:r>
            <w:rPr>
              <w:rFonts w:hint="eastAsia"/>
              <w:lang w:val="en-US" w:eastAsia="zh-CN"/>
            </w:rPr>
            <w:fldChar w:fldCharType="separate"/>
          </w:r>
          <w:r>
            <w:rPr>
              <w:rFonts w:hint="eastAsia" w:ascii="仿宋" w:hAnsi="仿宋" w:eastAsia="仿宋" w:cs="仿宋"/>
              <w:szCs w:val="32"/>
              <w:lang w:val="en-US" w:eastAsia="zh-CN"/>
            </w:rPr>
            <w:t>(一)保障工业用地</w:t>
          </w:r>
          <w:r>
            <w:tab/>
          </w:r>
          <w:r>
            <w:fldChar w:fldCharType="begin"/>
          </w:r>
          <w:r>
            <w:instrText xml:space="preserve"> PAGEREF _Toc25411 \h </w:instrText>
          </w:r>
          <w:r>
            <w:fldChar w:fldCharType="separate"/>
          </w:r>
          <w:r>
            <w:t>- 51 -</w:t>
          </w:r>
          <w:r>
            <w:fldChar w:fldCharType="end"/>
          </w:r>
          <w:r>
            <w:rPr>
              <w:rFonts w:hint="eastAsia"/>
              <w:color w:val="auto"/>
              <w:lang w:val="en-US" w:eastAsia="zh-CN"/>
            </w:rPr>
            <w:fldChar w:fldCharType="end"/>
          </w:r>
        </w:p>
        <w:p>
          <w:pPr>
            <w:pStyle w:val="10"/>
            <w:tabs>
              <w:tab w:val="right" w:leader="dot" w:pos="8732"/>
            </w:tabs>
          </w:pPr>
          <w:r>
            <w:rPr>
              <w:rFonts w:hint="eastAsia"/>
              <w:color w:val="auto"/>
              <w:lang w:val="en-US" w:eastAsia="zh-CN"/>
            </w:rPr>
            <w:fldChar w:fldCharType="begin"/>
          </w:r>
          <w:r>
            <w:rPr>
              <w:rFonts w:hint="eastAsia"/>
              <w:lang w:val="en-US" w:eastAsia="zh-CN"/>
            </w:rPr>
            <w:instrText xml:space="preserve"> HYPERLINK \l _Toc11308 </w:instrText>
          </w:r>
          <w:r>
            <w:rPr>
              <w:rFonts w:hint="eastAsia"/>
              <w:lang w:val="en-US" w:eastAsia="zh-CN"/>
            </w:rPr>
            <w:fldChar w:fldCharType="separate"/>
          </w:r>
          <w:r>
            <w:rPr>
              <w:rFonts w:hint="eastAsia" w:ascii="仿宋" w:hAnsi="仿宋" w:eastAsia="仿宋" w:cs="仿宋"/>
              <w:lang w:val="en-US" w:eastAsia="zh-CN"/>
            </w:rPr>
            <w:t>(二)提高用地集约化水平研究、制定及落实</w:t>
          </w:r>
          <w:r>
            <w:tab/>
          </w:r>
          <w:r>
            <w:fldChar w:fldCharType="begin"/>
          </w:r>
          <w:r>
            <w:instrText xml:space="preserve"> PAGEREF _Toc11308 \h </w:instrText>
          </w:r>
          <w:r>
            <w:fldChar w:fldCharType="separate"/>
          </w:r>
          <w:r>
            <w:t>- 51 -</w:t>
          </w:r>
          <w:r>
            <w:fldChar w:fldCharType="end"/>
          </w:r>
          <w:r>
            <w:rPr>
              <w:rFonts w:hint="eastAsia"/>
              <w:color w:val="auto"/>
              <w:lang w:val="en-US" w:eastAsia="zh-CN"/>
            </w:rPr>
            <w:fldChar w:fldCharType="end"/>
          </w:r>
        </w:p>
        <w:p>
          <w:pPr>
            <w:pStyle w:val="16"/>
            <w:tabs>
              <w:tab w:val="right" w:leader="dot" w:pos="8732"/>
            </w:tabs>
          </w:pPr>
          <w:r>
            <w:rPr>
              <w:rFonts w:hint="eastAsia"/>
              <w:color w:val="auto"/>
              <w:lang w:val="en-US" w:eastAsia="zh-CN"/>
            </w:rPr>
            <w:fldChar w:fldCharType="begin"/>
          </w:r>
          <w:r>
            <w:rPr>
              <w:rFonts w:hint="eastAsia"/>
              <w:lang w:val="en-US" w:eastAsia="zh-CN"/>
            </w:rPr>
            <w:instrText xml:space="preserve"> HYPERLINK \l _Toc29367 </w:instrText>
          </w:r>
          <w:r>
            <w:rPr>
              <w:rFonts w:hint="eastAsia"/>
              <w:lang w:val="en-US" w:eastAsia="zh-CN"/>
            </w:rPr>
            <w:fldChar w:fldCharType="separate"/>
          </w:r>
          <w:r>
            <w:rPr>
              <w:rFonts w:hint="eastAsia" w:ascii="楷体" w:hAnsi="楷体" w:eastAsia="楷体" w:cs="楷体"/>
              <w:szCs w:val="32"/>
              <w:lang w:val="en-US" w:eastAsia="zh-CN"/>
            </w:rPr>
            <w:t>二、能源供给支撑</w:t>
          </w:r>
          <w:r>
            <w:tab/>
          </w:r>
          <w:r>
            <w:fldChar w:fldCharType="begin"/>
          </w:r>
          <w:r>
            <w:instrText xml:space="preserve"> PAGEREF _Toc29367 \h </w:instrText>
          </w:r>
          <w:r>
            <w:fldChar w:fldCharType="separate"/>
          </w:r>
          <w:r>
            <w:t>- 52 -</w:t>
          </w:r>
          <w:r>
            <w:fldChar w:fldCharType="end"/>
          </w:r>
          <w:r>
            <w:rPr>
              <w:rFonts w:hint="eastAsia"/>
              <w:color w:val="auto"/>
              <w:lang w:val="en-US" w:eastAsia="zh-CN"/>
            </w:rPr>
            <w:fldChar w:fldCharType="end"/>
          </w:r>
        </w:p>
        <w:p>
          <w:pPr>
            <w:pStyle w:val="10"/>
            <w:tabs>
              <w:tab w:val="right" w:leader="dot" w:pos="8732"/>
            </w:tabs>
          </w:pPr>
          <w:r>
            <w:rPr>
              <w:rFonts w:hint="eastAsia"/>
              <w:color w:val="auto"/>
              <w:lang w:val="en-US" w:eastAsia="zh-CN"/>
            </w:rPr>
            <w:fldChar w:fldCharType="begin"/>
          </w:r>
          <w:r>
            <w:rPr>
              <w:rFonts w:hint="eastAsia"/>
              <w:lang w:val="en-US" w:eastAsia="zh-CN"/>
            </w:rPr>
            <w:instrText xml:space="preserve"> HYPERLINK \l _Toc32049 </w:instrText>
          </w:r>
          <w:r>
            <w:rPr>
              <w:rFonts w:hint="eastAsia"/>
              <w:lang w:val="en-US" w:eastAsia="zh-CN"/>
            </w:rPr>
            <w:fldChar w:fldCharType="separate"/>
          </w:r>
          <w:r>
            <w:rPr>
              <w:rFonts w:hint="eastAsia" w:ascii="仿宋" w:hAnsi="仿宋" w:eastAsia="仿宋" w:cs="仿宋"/>
              <w:szCs w:val="32"/>
              <w:lang w:val="en-US" w:eastAsia="zh-CN"/>
            </w:rPr>
            <w:t>(一)完善电网建设</w:t>
          </w:r>
          <w:r>
            <w:tab/>
          </w:r>
          <w:r>
            <w:fldChar w:fldCharType="begin"/>
          </w:r>
          <w:r>
            <w:instrText xml:space="preserve"> PAGEREF _Toc32049 \h </w:instrText>
          </w:r>
          <w:r>
            <w:fldChar w:fldCharType="separate"/>
          </w:r>
          <w:r>
            <w:t>- 52 -</w:t>
          </w:r>
          <w:r>
            <w:fldChar w:fldCharType="end"/>
          </w:r>
          <w:r>
            <w:rPr>
              <w:rFonts w:hint="eastAsia"/>
              <w:color w:val="auto"/>
              <w:lang w:val="en-US" w:eastAsia="zh-CN"/>
            </w:rPr>
            <w:fldChar w:fldCharType="end"/>
          </w:r>
        </w:p>
        <w:p>
          <w:pPr>
            <w:pStyle w:val="10"/>
            <w:tabs>
              <w:tab w:val="right" w:leader="dot" w:pos="8732"/>
            </w:tabs>
          </w:pPr>
          <w:r>
            <w:rPr>
              <w:rFonts w:hint="eastAsia"/>
              <w:color w:val="auto"/>
              <w:lang w:val="en-US" w:eastAsia="zh-CN"/>
            </w:rPr>
            <w:fldChar w:fldCharType="begin"/>
          </w:r>
          <w:r>
            <w:rPr>
              <w:rFonts w:hint="eastAsia"/>
              <w:lang w:val="en-US" w:eastAsia="zh-CN"/>
            </w:rPr>
            <w:instrText xml:space="preserve"> HYPERLINK \l _Toc15784 </w:instrText>
          </w:r>
          <w:r>
            <w:rPr>
              <w:rFonts w:hint="eastAsia"/>
              <w:lang w:val="en-US" w:eastAsia="zh-CN"/>
            </w:rPr>
            <w:fldChar w:fldCharType="separate"/>
          </w:r>
          <w:r>
            <w:rPr>
              <w:rFonts w:hint="eastAsia" w:ascii="仿宋" w:hAnsi="仿宋" w:eastAsia="仿宋" w:cs="仿宋"/>
              <w:szCs w:val="32"/>
              <w:lang w:val="en-US" w:eastAsia="zh-CN"/>
            </w:rPr>
            <w:t>(二)加强用电管理</w:t>
          </w:r>
          <w:r>
            <w:tab/>
          </w:r>
          <w:r>
            <w:fldChar w:fldCharType="begin"/>
          </w:r>
          <w:r>
            <w:instrText xml:space="preserve"> PAGEREF _Toc15784 \h </w:instrText>
          </w:r>
          <w:r>
            <w:fldChar w:fldCharType="separate"/>
          </w:r>
          <w:r>
            <w:t>- 52 -</w:t>
          </w:r>
          <w:r>
            <w:fldChar w:fldCharType="end"/>
          </w:r>
          <w:r>
            <w:rPr>
              <w:rFonts w:hint="eastAsia"/>
              <w:color w:val="auto"/>
              <w:lang w:val="en-US" w:eastAsia="zh-CN"/>
            </w:rPr>
            <w:fldChar w:fldCharType="end"/>
          </w:r>
        </w:p>
        <w:p>
          <w:pPr>
            <w:pStyle w:val="10"/>
            <w:tabs>
              <w:tab w:val="right" w:leader="dot" w:pos="8732"/>
            </w:tabs>
          </w:pPr>
          <w:r>
            <w:rPr>
              <w:rFonts w:hint="eastAsia"/>
              <w:color w:val="auto"/>
              <w:lang w:val="en-US" w:eastAsia="zh-CN"/>
            </w:rPr>
            <w:fldChar w:fldCharType="begin"/>
          </w:r>
          <w:r>
            <w:rPr>
              <w:rFonts w:hint="eastAsia"/>
              <w:lang w:val="en-US" w:eastAsia="zh-CN"/>
            </w:rPr>
            <w:instrText xml:space="preserve"> HYPERLINK \l _Toc11778 </w:instrText>
          </w:r>
          <w:r>
            <w:rPr>
              <w:rFonts w:hint="eastAsia"/>
              <w:lang w:val="en-US" w:eastAsia="zh-CN"/>
            </w:rPr>
            <w:fldChar w:fldCharType="separate"/>
          </w:r>
          <w:r>
            <w:rPr>
              <w:rFonts w:hint="eastAsia" w:ascii="仿宋" w:hAnsi="仿宋" w:eastAsia="仿宋" w:cs="仿宋"/>
              <w:szCs w:val="32"/>
              <w:lang w:val="en-US" w:eastAsia="zh-CN"/>
            </w:rPr>
            <w:t>(三)加快燃气管网设施建设</w:t>
          </w:r>
          <w:r>
            <w:tab/>
          </w:r>
          <w:r>
            <w:fldChar w:fldCharType="begin"/>
          </w:r>
          <w:r>
            <w:instrText xml:space="preserve"> PAGEREF _Toc11778 \h </w:instrText>
          </w:r>
          <w:r>
            <w:fldChar w:fldCharType="separate"/>
          </w:r>
          <w:r>
            <w:t>- 52 -</w:t>
          </w:r>
          <w:r>
            <w:fldChar w:fldCharType="end"/>
          </w:r>
          <w:r>
            <w:rPr>
              <w:rFonts w:hint="eastAsia"/>
              <w:color w:val="auto"/>
              <w:lang w:val="en-US" w:eastAsia="zh-CN"/>
            </w:rPr>
            <w:fldChar w:fldCharType="end"/>
          </w:r>
        </w:p>
        <w:p>
          <w:pPr>
            <w:pStyle w:val="16"/>
            <w:tabs>
              <w:tab w:val="right" w:leader="dot" w:pos="8732"/>
            </w:tabs>
          </w:pPr>
          <w:r>
            <w:rPr>
              <w:rFonts w:hint="eastAsia"/>
              <w:color w:val="auto"/>
              <w:lang w:val="en-US" w:eastAsia="zh-CN"/>
            </w:rPr>
            <w:fldChar w:fldCharType="begin"/>
          </w:r>
          <w:r>
            <w:rPr>
              <w:rFonts w:hint="eastAsia"/>
              <w:lang w:val="en-US" w:eastAsia="zh-CN"/>
            </w:rPr>
            <w:instrText xml:space="preserve"> HYPERLINK \l _Toc4967 </w:instrText>
          </w:r>
          <w:r>
            <w:rPr>
              <w:rFonts w:hint="eastAsia"/>
              <w:lang w:val="en-US" w:eastAsia="zh-CN"/>
            </w:rPr>
            <w:fldChar w:fldCharType="separate"/>
          </w:r>
          <w:r>
            <w:rPr>
              <w:rFonts w:hint="eastAsia" w:ascii="楷体" w:hAnsi="楷体" w:eastAsia="楷体" w:cs="楷体"/>
              <w:szCs w:val="32"/>
              <w:lang w:val="en-US" w:eastAsia="zh-CN"/>
            </w:rPr>
            <w:t>三、交通保障支撑</w:t>
          </w:r>
          <w:r>
            <w:tab/>
          </w:r>
          <w:r>
            <w:fldChar w:fldCharType="begin"/>
          </w:r>
          <w:r>
            <w:instrText xml:space="preserve"> PAGEREF _Toc4967 \h </w:instrText>
          </w:r>
          <w:r>
            <w:fldChar w:fldCharType="separate"/>
          </w:r>
          <w:r>
            <w:t>- 53 -</w:t>
          </w:r>
          <w:r>
            <w:fldChar w:fldCharType="end"/>
          </w:r>
          <w:r>
            <w:rPr>
              <w:rFonts w:hint="eastAsia"/>
              <w:color w:val="auto"/>
              <w:lang w:val="en-US" w:eastAsia="zh-CN"/>
            </w:rPr>
            <w:fldChar w:fldCharType="end"/>
          </w:r>
        </w:p>
        <w:p>
          <w:pPr>
            <w:pStyle w:val="16"/>
            <w:tabs>
              <w:tab w:val="right" w:leader="dot" w:pos="8732"/>
            </w:tabs>
          </w:pPr>
          <w:r>
            <w:rPr>
              <w:rFonts w:hint="eastAsia"/>
              <w:color w:val="auto"/>
              <w:lang w:val="en-US" w:eastAsia="zh-CN"/>
            </w:rPr>
            <w:fldChar w:fldCharType="begin"/>
          </w:r>
          <w:r>
            <w:rPr>
              <w:rFonts w:hint="eastAsia"/>
              <w:lang w:val="en-US" w:eastAsia="zh-CN"/>
            </w:rPr>
            <w:instrText xml:space="preserve"> HYPERLINK \l _Toc7375 </w:instrText>
          </w:r>
          <w:r>
            <w:rPr>
              <w:rFonts w:hint="eastAsia"/>
              <w:lang w:val="en-US" w:eastAsia="zh-CN"/>
            </w:rPr>
            <w:fldChar w:fldCharType="separate"/>
          </w:r>
          <w:r>
            <w:rPr>
              <w:rFonts w:hint="eastAsia" w:ascii="楷体" w:hAnsi="楷体" w:eastAsia="楷体" w:cs="楷体"/>
              <w:szCs w:val="32"/>
              <w:lang w:val="en-US" w:eastAsia="zh-CN"/>
            </w:rPr>
            <w:t>四、财政金融支撑</w:t>
          </w:r>
          <w:r>
            <w:tab/>
          </w:r>
          <w:r>
            <w:fldChar w:fldCharType="begin"/>
          </w:r>
          <w:r>
            <w:instrText xml:space="preserve"> PAGEREF _Toc7375 \h </w:instrText>
          </w:r>
          <w:r>
            <w:fldChar w:fldCharType="separate"/>
          </w:r>
          <w:r>
            <w:t>- 53 -</w:t>
          </w:r>
          <w:r>
            <w:fldChar w:fldCharType="end"/>
          </w:r>
          <w:r>
            <w:rPr>
              <w:rFonts w:hint="eastAsia"/>
              <w:color w:val="auto"/>
              <w:lang w:val="en-US" w:eastAsia="zh-CN"/>
            </w:rPr>
            <w:fldChar w:fldCharType="end"/>
          </w:r>
        </w:p>
        <w:p>
          <w:pPr>
            <w:pStyle w:val="10"/>
            <w:tabs>
              <w:tab w:val="right" w:leader="dot" w:pos="8732"/>
            </w:tabs>
          </w:pPr>
          <w:r>
            <w:rPr>
              <w:rFonts w:hint="eastAsia"/>
              <w:color w:val="auto"/>
              <w:lang w:val="en-US" w:eastAsia="zh-CN"/>
            </w:rPr>
            <w:fldChar w:fldCharType="begin"/>
          </w:r>
          <w:r>
            <w:rPr>
              <w:rFonts w:hint="eastAsia"/>
              <w:lang w:val="en-US" w:eastAsia="zh-CN"/>
            </w:rPr>
            <w:instrText xml:space="preserve"> HYPERLINK \l _Toc31998 </w:instrText>
          </w:r>
          <w:r>
            <w:rPr>
              <w:rFonts w:hint="eastAsia"/>
              <w:lang w:val="en-US" w:eastAsia="zh-CN"/>
            </w:rPr>
            <w:fldChar w:fldCharType="separate"/>
          </w:r>
          <w:r>
            <w:rPr>
              <w:rFonts w:hint="eastAsia" w:ascii="仿宋" w:hAnsi="仿宋" w:eastAsia="仿宋" w:cs="仿宋"/>
              <w:szCs w:val="32"/>
              <w:lang w:val="en-US" w:eastAsia="zh-CN"/>
            </w:rPr>
            <w:t>(一)加强对企业融资的服务与协调</w:t>
          </w:r>
          <w:r>
            <w:tab/>
          </w:r>
          <w:r>
            <w:fldChar w:fldCharType="begin"/>
          </w:r>
          <w:r>
            <w:instrText xml:space="preserve"> PAGEREF _Toc31998 \h </w:instrText>
          </w:r>
          <w:r>
            <w:fldChar w:fldCharType="separate"/>
          </w:r>
          <w:r>
            <w:t>- 53 -</w:t>
          </w:r>
          <w:r>
            <w:fldChar w:fldCharType="end"/>
          </w:r>
          <w:r>
            <w:rPr>
              <w:rFonts w:hint="eastAsia"/>
              <w:color w:val="auto"/>
              <w:lang w:val="en-US" w:eastAsia="zh-CN"/>
            </w:rPr>
            <w:fldChar w:fldCharType="end"/>
          </w:r>
        </w:p>
        <w:p>
          <w:pPr>
            <w:pStyle w:val="10"/>
            <w:tabs>
              <w:tab w:val="right" w:leader="dot" w:pos="8732"/>
            </w:tabs>
          </w:pPr>
          <w:r>
            <w:rPr>
              <w:rFonts w:hint="eastAsia"/>
              <w:color w:val="auto"/>
              <w:lang w:val="en-US" w:eastAsia="zh-CN"/>
            </w:rPr>
            <w:fldChar w:fldCharType="begin"/>
          </w:r>
          <w:r>
            <w:rPr>
              <w:rFonts w:hint="eastAsia"/>
              <w:lang w:val="en-US" w:eastAsia="zh-CN"/>
            </w:rPr>
            <w:instrText xml:space="preserve"> HYPERLINK \l _Toc11182 </w:instrText>
          </w:r>
          <w:r>
            <w:rPr>
              <w:rFonts w:hint="eastAsia"/>
              <w:lang w:val="en-US" w:eastAsia="zh-CN"/>
            </w:rPr>
            <w:fldChar w:fldCharType="separate"/>
          </w:r>
          <w:r>
            <w:rPr>
              <w:rFonts w:hint="eastAsia" w:ascii="仿宋" w:hAnsi="仿宋" w:eastAsia="仿宋" w:cs="仿宋"/>
              <w:szCs w:val="32"/>
              <w:lang w:val="en-US" w:eastAsia="zh-CN"/>
            </w:rPr>
            <w:t>(二)</w:t>
          </w:r>
          <w:r>
            <w:rPr>
              <w:rFonts w:hint="eastAsia" w:ascii="仿宋" w:hAnsi="仿宋" w:eastAsia="仿宋" w:cs="仿宋"/>
              <w:bCs/>
              <w:szCs w:val="32"/>
              <w:lang w:val="en-US" w:eastAsia="zh-CN"/>
            </w:rPr>
            <w:t>积极争取上级专项资金扶持</w:t>
          </w:r>
          <w:r>
            <w:tab/>
          </w:r>
          <w:r>
            <w:fldChar w:fldCharType="begin"/>
          </w:r>
          <w:r>
            <w:instrText xml:space="preserve"> PAGEREF _Toc11182 \h </w:instrText>
          </w:r>
          <w:r>
            <w:fldChar w:fldCharType="separate"/>
          </w:r>
          <w:r>
            <w:t>- 53 -</w:t>
          </w:r>
          <w:r>
            <w:fldChar w:fldCharType="end"/>
          </w:r>
          <w:r>
            <w:rPr>
              <w:rFonts w:hint="eastAsia"/>
              <w:color w:val="auto"/>
              <w:lang w:val="en-US" w:eastAsia="zh-CN"/>
            </w:rPr>
            <w:fldChar w:fldCharType="end"/>
          </w:r>
        </w:p>
        <w:p>
          <w:pPr>
            <w:pStyle w:val="10"/>
            <w:tabs>
              <w:tab w:val="right" w:leader="dot" w:pos="8732"/>
            </w:tabs>
          </w:pPr>
          <w:r>
            <w:rPr>
              <w:rFonts w:hint="eastAsia"/>
              <w:color w:val="auto"/>
              <w:lang w:val="en-US" w:eastAsia="zh-CN"/>
            </w:rPr>
            <w:fldChar w:fldCharType="begin"/>
          </w:r>
          <w:r>
            <w:rPr>
              <w:rFonts w:hint="eastAsia"/>
              <w:lang w:val="en-US" w:eastAsia="zh-CN"/>
            </w:rPr>
            <w:instrText xml:space="preserve"> HYPERLINK \l _Toc9367 </w:instrText>
          </w:r>
          <w:r>
            <w:rPr>
              <w:rFonts w:hint="eastAsia"/>
              <w:lang w:val="en-US" w:eastAsia="zh-CN"/>
            </w:rPr>
            <w:fldChar w:fldCharType="separate"/>
          </w:r>
          <w:r>
            <w:rPr>
              <w:rFonts w:hint="eastAsia" w:ascii="仿宋" w:hAnsi="仿宋" w:eastAsia="仿宋" w:cs="仿宋"/>
              <w:szCs w:val="32"/>
              <w:lang w:val="en-US" w:eastAsia="zh-CN"/>
            </w:rPr>
            <w:t>(三)加大财政投入力度</w:t>
          </w:r>
          <w:r>
            <w:tab/>
          </w:r>
          <w:r>
            <w:fldChar w:fldCharType="begin"/>
          </w:r>
          <w:r>
            <w:instrText xml:space="preserve"> PAGEREF _Toc9367 \h </w:instrText>
          </w:r>
          <w:r>
            <w:fldChar w:fldCharType="separate"/>
          </w:r>
          <w:r>
            <w:t>- 53 -</w:t>
          </w:r>
          <w:r>
            <w:fldChar w:fldCharType="end"/>
          </w:r>
          <w:r>
            <w:rPr>
              <w:rFonts w:hint="eastAsia"/>
              <w:color w:val="auto"/>
              <w:lang w:val="en-US" w:eastAsia="zh-CN"/>
            </w:rPr>
            <w:fldChar w:fldCharType="end"/>
          </w:r>
        </w:p>
        <w:p>
          <w:pPr>
            <w:pStyle w:val="16"/>
            <w:tabs>
              <w:tab w:val="right" w:leader="dot" w:pos="8732"/>
            </w:tabs>
          </w:pPr>
          <w:r>
            <w:rPr>
              <w:rFonts w:hint="eastAsia"/>
              <w:color w:val="auto"/>
              <w:lang w:val="en-US" w:eastAsia="zh-CN"/>
            </w:rPr>
            <w:fldChar w:fldCharType="begin"/>
          </w:r>
          <w:r>
            <w:rPr>
              <w:rFonts w:hint="eastAsia"/>
              <w:lang w:val="en-US" w:eastAsia="zh-CN"/>
            </w:rPr>
            <w:instrText xml:space="preserve"> HYPERLINK \l _Toc4832 </w:instrText>
          </w:r>
          <w:r>
            <w:rPr>
              <w:rFonts w:hint="eastAsia"/>
              <w:lang w:val="en-US" w:eastAsia="zh-CN"/>
            </w:rPr>
            <w:fldChar w:fldCharType="separate"/>
          </w:r>
          <w:r>
            <w:rPr>
              <w:rFonts w:hint="eastAsia" w:ascii="楷体" w:hAnsi="楷体" w:eastAsia="楷体" w:cs="楷体"/>
              <w:szCs w:val="32"/>
              <w:lang w:val="en-US" w:eastAsia="zh-CN"/>
            </w:rPr>
            <w:t>五、人才保障支撑</w:t>
          </w:r>
          <w:r>
            <w:tab/>
          </w:r>
          <w:r>
            <w:fldChar w:fldCharType="begin"/>
          </w:r>
          <w:r>
            <w:instrText xml:space="preserve"> PAGEREF _Toc4832 \h </w:instrText>
          </w:r>
          <w:r>
            <w:fldChar w:fldCharType="separate"/>
          </w:r>
          <w:r>
            <w:t>- 54 -</w:t>
          </w:r>
          <w:r>
            <w:fldChar w:fldCharType="end"/>
          </w:r>
          <w:r>
            <w:rPr>
              <w:rFonts w:hint="eastAsia"/>
              <w:color w:val="auto"/>
              <w:lang w:val="en-US" w:eastAsia="zh-CN"/>
            </w:rPr>
            <w:fldChar w:fldCharType="end"/>
          </w:r>
        </w:p>
        <w:p>
          <w:pPr>
            <w:pStyle w:val="10"/>
            <w:tabs>
              <w:tab w:val="right" w:leader="dot" w:pos="8732"/>
            </w:tabs>
          </w:pPr>
          <w:r>
            <w:rPr>
              <w:rFonts w:hint="eastAsia"/>
              <w:color w:val="auto"/>
              <w:lang w:val="en-US" w:eastAsia="zh-CN"/>
            </w:rPr>
            <w:fldChar w:fldCharType="begin"/>
          </w:r>
          <w:r>
            <w:rPr>
              <w:rFonts w:hint="eastAsia"/>
              <w:lang w:val="en-US" w:eastAsia="zh-CN"/>
            </w:rPr>
            <w:instrText xml:space="preserve"> HYPERLINK \l _Toc17703 </w:instrText>
          </w:r>
          <w:r>
            <w:rPr>
              <w:rFonts w:hint="eastAsia"/>
              <w:lang w:val="en-US" w:eastAsia="zh-CN"/>
            </w:rPr>
            <w:fldChar w:fldCharType="separate"/>
          </w:r>
          <w:r>
            <w:rPr>
              <w:rFonts w:hint="eastAsia" w:ascii="仿宋" w:hAnsi="仿宋" w:eastAsia="仿宋" w:cs="仿宋"/>
              <w:szCs w:val="32"/>
              <w:lang w:val="en-US" w:eastAsia="zh-CN"/>
            </w:rPr>
            <w:t>(一)建立一支优秀的企业家队伍</w:t>
          </w:r>
          <w:r>
            <w:tab/>
          </w:r>
          <w:r>
            <w:fldChar w:fldCharType="begin"/>
          </w:r>
          <w:r>
            <w:instrText xml:space="preserve"> PAGEREF _Toc17703 \h </w:instrText>
          </w:r>
          <w:r>
            <w:fldChar w:fldCharType="separate"/>
          </w:r>
          <w:r>
            <w:t>- 54 -</w:t>
          </w:r>
          <w:r>
            <w:fldChar w:fldCharType="end"/>
          </w:r>
          <w:r>
            <w:rPr>
              <w:rFonts w:hint="eastAsia"/>
              <w:color w:val="auto"/>
              <w:lang w:val="en-US" w:eastAsia="zh-CN"/>
            </w:rPr>
            <w:fldChar w:fldCharType="end"/>
          </w:r>
        </w:p>
        <w:p>
          <w:pPr>
            <w:pStyle w:val="10"/>
            <w:tabs>
              <w:tab w:val="right" w:leader="dot" w:pos="8732"/>
            </w:tabs>
          </w:pPr>
          <w:r>
            <w:rPr>
              <w:rFonts w:hint="eastAsia"/>
              <w:color w:val="auto"/>
              <w:lang w:val="en-US" w:eastAsia="zh-CN"/>
            </w:rPr>
            <w:fldChar w:fldCharType="begin"/>
          </w:r>
          <w:r>
            <w:rPr>
              <w:rFonts w:hint="eastAsia"/>
              <w:lang w:val="en-US" w:eastAsia="zh-CN"/>
            </w:rPr>
            <w:instrText xml:space="preserve"> HYPERLINK \l _Toc24153 </w:instrText>
          </w:r>
          <w:r>
            <w:rPr>
              <w:rFonts w:hint="eastAsia"/>
              <w:lang w:val="en-US" w:eastAsia="zh-CN"/>
            </w:rPr>
            <w:fldChar w:fldCharType="separate"/>
          </w:r>
          <w:r>
            <w:rPr>
              <w:rFonts w:hint="eastAsia" w:ascii="仿宋" w:hAnsi="仿宋" w:eastAsia="仿宋" w:cs="仿宋"/>
              <w:lang w:val="en-US" w:eastAsia="zh-CN"/>
            </w:rPr>
            <w:t>(二)</w:t>
          </w:r>
          <w:r>
            <w:rPr>
              <w:rFonts w:hint="eastAsia" w:ascii="仿宋" w:hAnsi="仿宋" w:eastAsia="仿宋" w:cs="仿宋"/>
              <w:szCs w:val="32"/>
              <w:lang w:val="en-US" w:eastAsia="zh-CN"/>
            </w:rPr>
            <w:t>建立一支优秀的企业经营管理人才队伍</w:t>
          </w:r>
          <w:r>
            <w:tab/>
          </w:r>
          <w:r>
            <w:fldChar w:fldCharType="begin"/>
          </w:r>
          <w:r>
            <w:instrText xml:space="preserve"> PAGEREF _Toc24153 \h </w:instrText>
          </w:r>
          <w:r>
            <w:fldChar w:fldCharType="separate"/>
          </w:r>
          <w:r>
            <w:t>- 54 -</w:t>
          </w:r>
          <w:r>
            <w:fldChar w:fldCharType="end"/>
          </w:r>
          <w:r>
            <w:rPr>
              <w:rFonts w:hint="eastAsia"/>
              <w:color w:val="auto"/>
              <w:lang w:val="en-US" w:eastAsia="zh-CN"/>
            </w:rPr>
            <w:fldChar w:fldCharType="end"/>
          </w:r>
        </w:p>
        <w:p>
          <w:pPr>
            <w:pStyle w:val="10"/>
            <w:tabs>
              <w:tab w:val="right" w:leader="dot" w:pos="8732"/>
            </w:tabs>
          </w:pPr>
          <w:r>
            <w:rPr>
              <w:rFonts w:hint="eastAsia"/>
              <w:color w:val="auto"/>
              <w:lang w:val="en-US" w:eastAsia="zh-CN"/>
            </w:rPr>
            <w:fldChar w:fldCharType="begin"/>
          </w:r>
          <w:r>
            <w:rPr>
              <w:rFonts w:hint="eastAsia"/>
              <w:lang w:val="en-US" w:eastAsia="zh-CN"/>
            </w:rPr>
            <w:instrText xml:space="preserve"> HYPERLINK \l _Toc19553 </w:instrText>
          </w:r>
          <w:r>
            <w:rPr>
              <w:rFonts w:hint="eastAsia"/>
              <w:lang w:val="en-US" w:eastAsia="zh-CN"/>
            </w:rPr>
            <w:fldChar w:fldCharType="separate"/>
          </w:r>
          <w:r>
            <w:rPr>
              <w:rFonts w:hint="eastAsia" w:ascii="仿宋" w:hAnsi="仿宋" w:eastAsia="仿宋" w:cs="仿宋"/>
              <w:lang w:val="en-US" w:eastAsia="zh-CN"/>
            </w:rPr>
            <w:t>(三)建立一支优秀的技术创新人才队伍</w:t>
          </w:r>
          <w:r>
            <w:tab/>
          </w:r>
          <w:r>
            <w:fldChar w:fldCharType="begin"/>
          </w:r>
          <w:r>
            <w:instrText xml:space="preserve"> PAGEREF _Toc19553 \h </w:instrText>
          </w:r>
          <w:r>
            <w:fldChar w:fldCharType="separate"/>
          </w:r>
          <w:r>
            <w:t>- 54 -</w:t>
          </w:r>
          <w:r>
            <w:fldChar w:fldCharType="end"/>
          </w:r>
          <w:r>
            <w:rPr>
              <w:rFonts w:hint="eastAsia"/>
              <w:color w:val="auto"/>
              <w:lang w:val="en-US" w:eastAsia="zh-CN"/>
            </w:rPr>
            <w:fldChar w:fldCharType="end"/>
          </w:r>
        </w:p>
        <w:p>
          <w:pPr>
            <w:pStyle w:val="10"/>
            <w:tabs>
              <w:tab w:val="right" w:leader="dot" w:pos="8732"/>
            </w:tabs>
          </w:pPr>
          <w:r>
            <w:rPr>
              <w:rFonts w:hint="eastAsia"/>
              <w:color w:val="auto"/>
              <w:lang w:val="en-US" w:eastAsia="zh-CN"/>
            </w:rPr>
            <w:fldChar w:fldCharType="begin"/>
          </w:r>
          <w:r>
            <w:rPr>
              <w:rFonts w:hint="eastAsia"/>
              <w:lang w:val="en-US" w:eastAsia="zh-CN"/>
            </w:rPr>
            <w:instrText xml:space="preserve"> HYPERLINK \l _Toc14437 </w:instrText>
          </w:r>
          <w:r>
            <w:rPr>
              <w:rFonts w:hint="eastAsia"/>
              <w:lang w:val="en-US" w:eastAsia="zh-CN"/>
            </w:rPr>
            <w:fldChar w:fldCharType="separate"/>
          </w:r>
          <w:r>
            <w:rPr>
              <w:rFonts w:hint="eastAsia" w:ascii="仿宋" w:hAnsi="仿宋" w:eastAsia="仿宋" w:cs="仿宋"/>
              <w:szCs w:val="32"/>
              <w:lang w:val="en-US" w:eastAsia="zh-CN"/>
            </w:rPr>
            <w:t>(四)建立一支优秀的技术工人队伍</w:t>
          </w:r>
          <w:r>
            <w:tab/>
          </w:r>
          <w:r>
            <w:fldChar w:fldCharType="begin"/>
          </w:r>
          <w:r>
            <w:instrText xml:space="preserve"> PAGEREF _Toc14437 \h </w:instrText>
          </w:r>
          <w:r>
            <w:fldChar w:fldCharType="separate"/>
          </w:r>
          <w:r>
            <w:t>- 55 -</w:t>
          </w:r>
          <w:r>
            <w:fldChar w:fldCharType="end"/>
          </w:r>
          <w:r>
            <w:rPr>
              <w:rFonts w:hint="eastAsia"/>
              <w:color w:val="auto"/>
              <w:lang w:val="en-US" w:eastAsia="zh-CN"/>
            </w:rPr>
            <w:fldChar w:fldCharType="end"/>
          </w:r>
        </w:p>
        <w:p>
          <w:pPr>
            <w:pStyle w:val="16"/>
            <w:tabs>
              <w:tab w:val="right" w:leader="dot" w:pos="8732"/>
            </w:tabs>
          </w:pPr>
          <w:r>
            <w:rPr>
              <w:rFonts w:hint="eastAsia"/>
              <w:color w:val="auto"/>
              <w:lang w:val="en-US" w:eastAsia="zh-CN"/>
            </w:rPr>
            <w:fldChar w:fldCharType="begin"/>
          </w:r>
          <w:r>
            <w:rPr>
              <w:rFonts w:hint="eastAsia"/>
              <w:lang w:val="en-US" w:eastAsia="zh-CN"/>
            </w:rPr>
            <w:instrText xml:space="preserve"> HYPERLINK \l _Toc26932 </w:instrText>
          </w:r>
          <w:r>
            <w:rPr>
              <w:rFonts w:hint="eastAsia"/>
              <w:lang w:val="en-US" w:eastAsia="zh-CN"/>
            </w:rPr>
            <w:fldChar w:fldCharType="separate"/>
          </w:r>
          <w:r>
            <w:rPr>
              <w:rFonts w:hint="eastAsia" w:ascii="楷体" w:hAnsi="楷体" w:eastAsia="楷体" w:cs="楷体"/>
              <w:szCs w:val="32"/>
              <w:lang w:val="en-US" w:eastAsia="zh-CN"/>
            </w:rPr>
            <w:t>六、安全生产支撑</w:t>
          </w:r>
          <w:r>
            <w:tab/>
          </w:r>
          <w:r>
            <w:fldChar w:fldCharType="begin"/>
          </w:r>
          <w:r>
            <w:instrText xml:space="preserve"> PAGEREF _Toc26932 \h </w:instrText>
          </w:r>
          <w:r>
            <w:fldChar w:fldCharType="separate"/>
          </w:r>
          <w:r>
            <w:t>- 55 -</w:t>
          </w:r>
          <w:r>
            <w:fldChar w:fldCharType="end"/>
          </w:r>
          <w:r>
            <w:rPr>
              <w:rFonts w:hint="eastAsia"/>
              <w:color w:val="auto"/>
              <w:lang w:val="en-US" w:eastAsia="zh-CN"/>
            </w:rPr>
            <w:fldChar w:fldCharType="end"/>
          </w:r>
        </w:p>
        <w:p>
          <w:pPr>
            <w:pStyle w:val="10"/>
            <w:tabs>
              <w:tab w:val="right" w:leader="dot" w:pos="8732"/>
            </w:tabs>
          </w:pPr>
          <w:r>
            <w:rPr>
              <w:rFonts w:hint="eastAsia"/>
              <w:color w:val="auto"/>
              <w:lang w:val="en-US" w:eastAsia="zh-CN"/>
            </w:rPr>
            <w:fldChar w:fldCharType="begin"/>
          </w:r>
          <w:r>
            <w:rPr>
              <w:rFonts w:hint="eastAsia"/>
              <w:lang w:val="en-US" w:eastAsia="zh-CN"/>
            </w:rPr>
            <w:instrText xml:space="preserve"> HYPERLINK \l _Toc29348 </w:instrText>
          </w:r>
          <w:r>
            <w:rPr>
              <w:rFonts w:hint="eastAsia"/>
              <w:lang w:val="en-US" w:eastAsia="zh-CN"/>
            </w:rPr>
            <w:fldChar w:fldCharType="separate"/>
          </w:r>
          <w:r>
            <w:rPr>
              <w:rFonts w:hint="eastAsia" w:ascii="仿宋" w:hAnsi="仿宋" w:eastAsia="仿宋" w:cs="仿宋"/>
              <w:szCs w:val="32"/>
              <w:lang w:val="en-US" w:eastAsia="zh-CN"/>
            </w:rPr>
            <w:t>(一)深化隐患整治，消除安全事故隐患</w:t>
          </w:r>
          <w:r>
            <w:tab/>
          </w:r>
          <w:r>
            <w:fldChar w:fldCharType="begin"/>
          </w:r>
          <w:r>
            <w:instrText xml:space="preserve"> PAGEREF _Toc29348 \h </w:instrText>
          </w:r>
          <w:r>
            <w:fldChar w:fldCharType="separate"/>
          </w:r>
          <w:r>
            <w:t>- 55 -</w:t>
          </w:r>
          <w:r>
            <w:fldChar w:fldCharType="end"/>
          </w:r>
          <w:r>
            <w:rPr>
              <w:rFonts w:hint="eastAsia"/>
              <w:color w:val="auto"/>
              <w:lang w:val="en-US" w:eastAsia="zh-CN"/>
            </w:rPr>
            <w:fldChar w:fldCharType="end"/>
          </w:r>
        </w:p>
        <w:p>
          <w:pPr>
            <w:pStyle w:val="10"/>
            <w:tabs>
              <w:tab w:val="right" w:leader="dot" w:pos="8732"/>
            </w:tabs>
          </w:pPr>
          <w:r>
            <w:rPr>
              <w:rFonts w:hint="eastAsia"/>
              <w:color w:val="auto"/>
              <w:lang w:val="en-US" w:eastAsia="zh-CN"/>
            </w:rPr>
            <w:fldChar w:fldCharType="begin"/>
          </w:r>
          <w:r>
            <w:rPr>
              <w:rFonts w:hint="eastAsia"/>
              <w:lang w:val="en-US" w:eastAsia="zh-CN"/>
            </w:rPr>
            <w:instrText xml:space="preserve"> HYPERLINK \l _Toc21357 </w:instrText>
          </w:r>
          <w:r>
            <w:rPr>
              <w:rFonts w:hint="eastAsia"/>
              <w:lang w:val="en-US" w:eastAsia="zh-CN"/>
            </w:rPr>
            <w:fldChar w:fldCharType="separate"/>
          </w:r>
          <w:r>
            <w:rPr>
              <w:rFonts w:hint="eastAsia" w:ascii="仿宋" w:hAnsi="仿宋" w:eastAsia="仿宋" w:cs="仿宋"/>
              <w:szCs w:val="32"/>
              <w:lang w:val="en-US" w:eastAsia="zh-CN"/>
            </w:rPr>
            <w:t>(二)强化培训教育，提高人员安全意识</w:t>
          </w:r>
          <w:r>
            <w:tab/>
          </w:r>
          <w:r>
            <w:fldChar w:fldCharType="begin"/>
          </w:r>
          <w:r>
            <w:instrText xml:space="preserve"> PAGEREF _Toc21357 \h </w:instrText>
          </w:r>
          <w:r>
            <w:fldChar w:fldCharType="separate"/>
          </w:r>
          <w:r>
            <w:t>- 55 -</w:t>
          </w:r>
          <w:r>
            <w:fldChar w:fldCharType="end"/>
          </w:r>
          <w:r>
            <w:rPr>
              <w:rFonts w:hint="eastAsia"/>
              <w:color w:val="auto"/>
              <w:lang w:val="en-US" w:eastAsia="zh-CN"/>
            </w:rPr>
            <w:fldChar w:fldCharType="end"/>
          </w:r>
        </w:p>
        <w:p>
          <w:pPr>
            <w:pStyle w:val="10"/>
            <w:tabs>
              <w:tab w:val="right" w:leader="dot" w:pos="8732"/>
            </w:tabs>
          </w:pPr>
          <w:r>
            <w:rPr>
              <w:rFonts w:hint="eastAsia"/>
              <w:color w:val="auto"/>
              <w:lang w:val="en-US" w:eastAsia="zh-CN"/>
            </w:rPr>
            <w:fldChar w:fldCharType="begin"/>
          </w:r>
          <w:r>
            <w:rPr>
              <w:rFonts w:hint="eastAsia"/>
              <w:lang w:val="en-US" w:eastAsia="zh-CN"/>
            </w:rPr>
            <w:instrText xml:space="preserve"> HYPERLINK \l _Toc1971 </w:instrText>
          </w:r>
          <w:r>
            <w:rPr>
              <w:rFonts w:hint="eastAsia"/>
              <w:lang w:val="en-US" w:eastAsia="zh-CN"/>
            </w:rPr>
            <w:fldChar w:fldCharType="separate"/>
          </w:r>
          <w:r>
            <w:rPr>
              <w:rFonts w:hint="eastAsia" w:ascii="仿宋" w:hAnsi="仿宋" w:eastAsia="仿宋" w:cs="仿宋"/>
              <w:szCs w:val="32"/>
              <w:lang w:val="en-US" w:eastAsia="zh-CN"/>
            </w:rPr>
            <w:t>(三)落实主体责任，推动企业尽职履责</w:t>
          </w:r>
          <w:r>
            <w:tab/>
          </w:r>
          <w:r>
            <w:fldChar w:fldCharType="begin"/>
          </w:r>
          <w:r>
            <w:instrText xml:space="preserve"> PAGEREF _Toc1971 \h </w:instrText>
          </w:r>
          <w:r>
            <w:fldChar w:fldCharType="separate"/>
          </w:r>
          <w:r>
            <w:t>- 56 -</w:t>
          </w:r>
          <w:r>
            <w:fldChar w:fldCharType="end"/>
          </w:r>
          <w:r>
            <w:rPr>
              <w:rFonts w:hint="eastAsia"/>
              <w:color w:val="auto"/>
              <w:lang w:val="en-US" w:eastAsia="zh-CN"/>
            </w:rPr>
            <w:fldChar w:fldCharType="end"/>
          </w:r>
        </w:p>
        <w:p>
          <w:pPr>
            <w:pStyle w:val="14"/>
            <w:tabs>
              <w:tab w:val="right" w:leader="dot" w:pos="8732"/>
            </w:tabs>
          </w:pPr>
          <w:r>
            <w:rPr>
              <w:rFonts w:hint="eastAsia"/>
              <w:color w:val="auto"/>
              <w:lang w:val="en-US" w:eastAsia="zh-CN"/>
            </w:rPr>
            <w:fldChar w:fldCharType="begin"/>
          </w:r>
          <w:r>
            <w:rPr>
              <w:rFonts w:hint="eastAsia"/>
              <w:lang w:val="en-US" w:eastAsia="zh-CN"/>
            </w:rPr>
            <w:instrText xml:space="preserve"> HYPERLINK \l _Toc15666 </w:instrText>
          </w:r>
          <w:r>
            <w:rPr>
              <w:rFonts w:hint="eastAsia"/>
              <w:lang w:val="en-US" w:eastAsia="zh-CN"/>
            </w:rPr>
            <w:fldChar w:fldCharType="separate"/>
          </w:r>
          <w:r>
            <w:rPr>
              <w:rFonts w:hint="eastAsia" w:ascii="黑体" w:hAnsi="黑体" w:eastAsia="黑体" w:cs="黑体"/>
              <w:bCs w:val="0"/>
              <w:szCs w:val="32"/>
              <w:lang w:val="en-US" w:eastAsia="zh-CN"/>
            </w:rPr>
            <w:t>第七章 完善政策措施</w:t>
          </w:r>
          <w:r>
            <w:tab/>
          </w:r>
          <w:r>
            <w:fldChar w:fldCharType="begin"/>
          </w:r>
          <w:r>
            <w:instrText xml:space="preserve"> PAGEREF _Toc15666 \h </w:instrText>
          </w:r>
          <w:r>
            <w:fldChar w:fldCharType="separate"/>
          </w:r>
          <w:r>
            <w:t>- 56 -</w:t>
          </w:r>
          <w:r>
            <w:fldChar w:fldCharType="end"/>
          </w:r>
          <w:r>
            <w:rPr>
              <w:rFonts w:hint="eastAsia"/>
              <w:color w:val="auto"/>
              <w:lang w:val="en-US" w:eastAsia="zh-CN"/>
            </w:rPr>
            <w:fldChar w:fldCharType="end"/>
          </w:r>
        </w:p>
        <w:p>
          <w:pPr>
            <w:pStyle w:val="16"/>
            <w:tabs>
              <w:tab w:val="right" w:leader="dot" w:pos="8732"/>
            </w:tabs>
          </w:pPr>
          <w:r>
            <w:rPr>
              <w:rFonts w:hint="eastAsia"/>
              <w:color w:val="auto"/>
              <w:lang w:val="en-US" w:eastAsia="zh-CN"/>
            </w:rPr>
            <w:fldChar w:fldCharType="begin"/>
          </w:r>
          <w:r>
            <w:rPr>
              <w:rFonts w:hint="eastAsia"/>
              <w:lang w:val="en-US" w:eastAsia="zh-CN"/>
            </w:rPr>
            <w:instrText xml:space="preserve"> HYPERLINK \l _Toc25394 </w:instrText>
          </w:r>
          <w:r>
            <w:rPr>
              <w:rFonts w:hint="eastAsia"/>
              <w:lang w:val="en-US" w:eastAsia="zh-CN"/>
            </w:rPr>
            <w:fldChar w:fldCharType="separate"/>
          </w:r>
          <w:r>
            <w:rPr>
              <w:rFonts w:hint="eastAsia" w:ascii="楷体" w:hAnsi="楷体" w:eastAsia="楷体" w:cs="楷体"/>
              <w:szCs w:val="32"/>
              <w:lang w:val="en-US" w:eastAsia="zh-CN"/>
            </w:rPr>
            <w:t>一、科学组织实施</w:t>
          </w:r>
          <w:r>
            <w:tab/>
          </w:r>
          <w:r>
            <w:fldChar w:fldCharType="begin"/>
          </w:r>
          <w:r>
            <w:instrText xml:space="preserve"> PAGEREF _Toc25394 \h </w:instrText>
          </w:r>
          <w:r>
            <w:fldChar w:fldCharType="separate"/>
          </w:r>
          <w:r>
            <w:t>- 56 -</w:t>
          </w:r>
          <w:r>
            <w:fldChar w:fldCharType="end"/>
          </w:r>
          <w:r>
            <w:rPr>
              <w:rFonts w:hint="eastAsia"/>
              <w:color w:val="auto"/>
              <w:lang w:val="en-US" w:eastAsia="zh-CN"/>
            </w:rPr>
            <w:fldChar w:fldCharType="end"/>
          </w:r>
        </w:p>
        <w:p>
          <w:pPr>
            <w:pStyle w:val="10"/>
            <w:tabs>
              <w:tab w:val="right" w:leader="dot" w:pos="8732"/>
            </w:tabs>
          </w:pPr>
          <w:r>
            <w:rPr>
              <w:rFonts w:hint="eastAsia"/>
              <w:color w:val="auto"/>
              <w:lang w:val="en-US" w:eastAsia="zh-CN"/>
            </w:rPr>
            <w:fldChar w:fldCharType="begin"/>
          </w:r>
          <w:r>
            <w:rPr>
              <w:rFonts w:hint="eastAsia"/>
              <w:lang w:val="en-US" w:eastAsia="zh-CN"/>
            </w:rPr>
            <w:instrText xml:space="preserve"> HYPERLINK \l _Toc9575 </w:instrText>
          </w:r>
          <w:r>
            <w:rPr>
              <w:rFonts w:hint="eastAsia"/>
              <w:lang w:val="en-US" w:eastAsia="zh-CN"/>
            </w:rPr>
            <w:fldChar w:fldCharType="separate"/>
          </w:r>
          <w:r>
            <w:rPr>
              <w:rFonts w:hint="eastAsia" w:ascii="仿宋" w:hAnsi="仿宋" w:eastAsia="仿宋" w:cs="仿宋"/>
              <w:szCs w:val="32"/>
              <w:lang w:val="en-US" w:eastAsia="zh-CN"/>
            </w:rPr>
            <w:t>(一)加强组织协调</w:t>
          </w:r>
          <w:r>
            <w:tab/>
          </w:r>
          <w:r>
            <w:fldChar w:fldCharType="begin"/>
          </w:r>
          <w:r>
            <w:instrText xml:space="preserve"> PAGEREF _Toc9575 \h </w:instrText>
          </w:r>
          <w:r>
            <w:fldChar w:fldCharType="separate"/>
          </w:r>
          <w:r>
            <w:t>- 56 -</w:t>
          </w:r>
          <w:r>
            <w:fldChar w:fldCharType="end"/>
          </w:r>
          <w:r>
            <w:rPr>
              <w:rFonts w:hint="eastAsia"/>
              <w:color w:val="auto"/>
              <w:lang w:val="en-US" w:eastAsia="zh-CN"/>
            </w:rPr>
            <w:fldChar w:fldCharType="end"/>
          </w:r>
        </w:p>
        <w:p>
          <w:pPr>
            <w:pStyle w:val="10"/>
            <w:tabs>
              <w:tab w:val="right" w:leader="dot" w:pos="8732"/>
            </w:tabs>
          </w:pPr>
          <w:r>
            <w:rPr>
              <w:rFonts w:hint="eastAsia"/>
              <w:color w:val="auto"/>
              <w:lang w:val="en-US" w:eastAsia="zh-CN"/>
            </w:rPr>
            <w:fldChar w:fldCharType="begin"/>
          </w:r>
          <w:r>
            <w:rPr>
              <w:rFonts w:hint="eastAsia"/>
              <w:lang w:val="en-US" w:eastAsia="zh-CN"/>
            </w:rPr>
            <w:instrText xml:space="preserve"> HYPERLINK \l _Toc27416 </w:instrText>
          </w:r>
          <w:r>
            <w:rPr>
              <w:rFonts w:hint="eastAsia"/>
              <w:lang w:val="en-US" w:eastAsia="zh-CN"/>
            </w:rPr>
            <w:fldChar w:fldCharType="separate"/>
          </w:r>
          <w:r>
            <w:rPr>
              <w:rFonts w:hint="eastAsia" w:ascii="仿宋" w:hAnsi="仿宋" w:eastAsia="仿宋" w:cs="仿宋"/>
              <w:szCs w:val="32"/>
              <w:lang w:val="en-US" w:eastAsia="zh-CN"/>
            </w:rPr>
            <w:t>(二)</w:t>
          </w:r>
          <w:r>
            <w:rPr>
              <w:rFonts w:hint="eastAsia" w:ascii="仿宋" w:hAnsi="仿宋" w:eastAsia="仿宋" w:cs="仿宋"/>
              <w:bCs/>
              <w:lang w:val="en-US" w:eastAsia="zh-CN"/>
            </w:rPr>
            <w:t>加强绩效考评</w:t>
          </w:r>
          <w:r>
            <w:tab/>
          </w:r>
          <w:r>
            <w:fldChar w:fldCharType="begin"/>
          </w:r>
          <w:r>
            <w:instrText xml:space="preserve"> PAGEREF _Toc27416 \h </w:instrText>
          </w:r>
          <w:r>
            <w:fldChar w:fldCharType="separate"/>
          </w:r>
          <w:r>
            <w:t>- 56 -</w:t>
          </w:r>
          <w:r>
            <w:fldChar w:fldCharType="end"/>
          </w:r>
          <w:r>
            <w:rPr>
              <w:rFonts w:hint="eastAsia"/>
              <w:color w:val="auto"/>
              <w:lang w:val="en-US" w:eastAsia="zh-CN"/>
            </w:rPr>
            <w:fldChar w:fldCharType="end"/>
          </w:r>
        </w:p>
        <w:p>
          <w:pPr>
            <w:pStyle w:val="10"/>
            <w:tabs>
              <w:tab w:val="right" w:leader="dot" w:pos="8732"/>
            </w:tabs>
          </w:pPr>
          <w:r>
            <w:rPr>
              <w:rFonts w:hint="eastAsia"/>
              <w:color w:val="auto"/>
              <w:lang w:val="en-US" w:eastAsia="zh-CN"/>
            </w:rPr>
            <w:fldChar w:fldCharType="begin"/>
          </w:r>
          <w:r>
            <w:rPr>
              <w:rFonts w:hint="eastAsia"/>
              <w:lang w:val="en-US" w:eastAsia="zh-CN"/>
            </w:rPr>
            <w:instrText xml:space="preserve"> HYPERLINK \l _Toc14918 </w:instrText>
          </w:r>
          <w:r>
            <w:rPr>
              <w:rFonts w:hint="eastAsia"/>
              <w:lang w:val="en-US" w:eastAsia="zh-CN"/>
            </w:rPr>
            <w:fldChar w:fldCharType="separate"/>
          </w:r>
          <w:r>
            <w:rPr>
              <w:rFonts w:hint="eastAsia" w:ascii="仿宋" w:hAnsi="仿宋" w:eastAsia="仿宋" w:cs="仿宋"/>
              <w:szCs w:val="30"/>
              <w:lang w:val="en-US" w:eastAsia="zh-CN"/>
            </w:rPr>
            <w:t>(三)加强监测评估</w:t>
          </w:r>
          <w:r>
            <w:tab/>
          </w:r>
          <w:r>
            <w:fldChar w:fldCharType="begin"/>
          </w:r>
          <w:r>
            <w:instrText xml:space="preserve"> PAGEREF _Toc14918 \h </w:instrText>
          </w:r>
          <w:r>
            <w:fldChar w:fldCharType="separate"/>
          </w:r>
          <w:r>
            <w:t>- 56 -</w:t>
          </w:r>
          <w:r>
            <w:fldChar w:fldCharType="end"/>
          </w:r>
          <w:r>
            <w:rPr>
              <w:rFonts w:hint="eastAsia"/>
              <w:color w:val="auto"/>
              <w:lang w:val="en-US" w:eastAsia="zh-CN"/>
            </w:rPr>
            <w:fldChar w:fldCharType="end"/>
          </w:r>
        </w:p>
        <w:p>
          <w:pPr>
            <w:pStyle w:val="16"/>
            <w:tabs>
              <w:tab w:val="right" w:leader="dot" w:pos="8732"/>
            </w:tabs>
          </w:pPr>
          <w:r>
            <w:rPr>
              <w:rFonts w:hint="eastAsia"/>
              <w:color w:val="auto"/>
              <w:lang w:val="en-US" w:eastAsia="zh-CN"/>
            </w:rPr>
            <w:fldChar w:fldCharType="begin"/>
          </w:r>
          <w:r>
            <w:rPr>
              <w:rFonts w:hint="eastAsia"/>
              <w:lang w:val="en-US" w:eastAsia="zh-CN"/>
            </w:rPr>
            <w:instrText xml:space="preserve"> HYPERLINK \l _Toc23656 </w:instrText>
          </w:r>
          <w:r>
            <w:rPr>
              <w:rFonts w:hint="eastAsia"/>
              <w:lang w:val="en-US" w:eastAsia="zh-CN"/>
            </w:rPr>
            <w:fldChar w:fldCharType="separate"/>
          </w:r>
          <w:r>
            <w:rPr>
              <w:rFonts w:hint="eastAsia" w:ascii="楷体" w:hAnsi="楷体" w:eastAsia="楷体" w:cs="楷体"/>
              <w:szCs w:val="32"/>
              <w:lang w:val="en-US" w:eastAsia="zh-CN"/>
            </w:rPr>
            <w:t>二、创新体制机制</w:t>
          </w:r>
          <w:r>
            <w:tab/>
          </w:r>
          <w:r>
            <w:fldChar w:fldCharType="begin"/>
          </w:r>
          <w:r>
            <w:instrText xml:space="preserve"> PAGEREF _Toc23656 \h </w:instrText>
          </w:r>
          <w:r>
            <w:fldChar w:fldCharType="separate"/>
          </w:r>
          <w:r>
            <w:t>- 57 -</w:t>
          </w:r>
          <w:r>
            <w:fldChar w:fldCharType="end"/>
          </w:r>
          <w:r>
            <w:rPr>
              <w:rFonts w:hint="eastAsia"/>
              <w:color w:val="auto"/>
              <w:lang w:val="en-US" w:eastAsia="zh-CN"/>
            </w:rPr>
            <w:fldChar w:fldCharType="end"/>
          </w:r>
        </w:p>
        <w:p>
          <w:pPr>
            <w:pStyle w:val="10"/>
            <w:tabs>
              <w:tab w:val="right" w:leader="dot" w:pos="8732"/>
            </w:tabs>
          </w:pPr>
          <w:r>
            <w:rPr>
              <w:rFonts w:hint="eastAsia"/>
              <w:color w:val="auto"/>
              <w:lang w:val="en-US" w:eastAsia="zh-CN"/>
            </w:rPr>
            <w:fldChar w:fldCharType="begin"/>
          </w:r>
          <w:r>
            <w:rPr>
              <w:rFonts w:hint="eastAsia"/>
              <w:lang w:val="en-US" w:eastAsia="zh-CN"/>
            </w:rPr>
            <w:instrText xml:space="preserve"> HYPERLINK \l _Toc13744 </w:instrText>
          </w:r>
          <w:r>
            <w:rPr>
              <w:rFonts w:hint="eastAsia"/>
              <w:lang w:val="en-US" w:eastAsia="zh-CN"/>
            </w:rPr>
            <w:fldChar w:fldCharType="separate"/>
          </w:r>
          <w:r>
            <w:rPr>
              <w:rFonts w:hint="eastAsia" w:ascii="仿宋" w:hAnsi="仿宋" w:eastAsia="仿宋" w:cs="仿宋"/>
              <w:szCs w:val="32"/>
              <w:lang w:val="en-US" w:eastAsia="zh-CN"/>
            </w:rPr>
            <w:t>(一)建设服务型政府</w:t>
          </w:r>
          <w:r>
            <w:tab/>
          </w:r>
          <w:r>
            <w:fldChar w:fldCharType="begin"/>
          </w:r>
          <w:r>
            <w:instrText xml:space="preserve"> PAGEREF _Toc13744 \h </w:instrText>
          </w:r>
          <w:r>
            <w:fldChar w:fldCharType="separate"/>
          </w:r>
          <w:r>
            <w:t>- 57 -</w:t>
          </w:r>
          <w:r>
            <w:fldChar w:fldCharType="end"/>
          </w:r>
          <w:r>
            <w:rPr>
              <w:rFonts w:hint="eastAsia"/>
              <w:color w:val="auto"/>
              <w:lang w:val="en-US" w:eastAsia="zh-CN"/>
            </w:rPr>
            <w:fldChar w:fldCharType="end"/>
          </w:r>
        </w:p>
        <w:p>
          <w:pPr>
            <w:pStyle w:val="10"/>
            <w:tabs>
              <w:tab w:val="right" w:leader="dot" w:pos="8732"/>
            </w:tabs>
          </w:pPr>
          <w:r>
            <w:rPr>
              <w:rFonts w:hint="eastAsia"/>
              <w:color w:val="auto"/>
              <w:lang w:val="en-US" w:eastAsia="zh-CN"/>
            </w:rPr>
            <w:fldChar w:fldCharType="begin"/>
          </w:r>
          <w:r>
            <w:rPr>
              <w:rFonts w:hint="eastAsia"/>
              <w:lang w:val="en-US" w:eastAsia="zh-CN"/>
            </w:rPr>
            <w:instrText xml:space="preserve"> HYPERLINK \l _Toc24257 </w:instrText>
          </w:r>
          <w:r>
            <w:rPr>
              <w:rFonts w:hint="eastAsia"/>
              <w:lang w:val="en-US" w:eastAsia="zh-CN"/>
            </w:rPr>
            <w:fldChar w:fldCharType="separate"/>
          </w:r>
          <w:r>
            <w:rPr>
              <w:rFonts w:hint="eastAsia" w:ascii="仿宋" w:hAnsi="仿宋" w:eastAsia="仿宋" w:cs="仿宋"/>
              <w:szCs w:val="32"/>
              <w:lang w:val="en-US" w:eastAsia="zh-CN"/>
            </w:rPr>
            <w:t>(二)简化行政审批</w:t>
          </w:r>
          <w:r>
            <w:tab/>
          </w:r>
          <w:r>
            <w:fldChar w:fldCharType="begin"/>
          </w:r>
          <w:r>
            <w:instrText xml:space="preserve"> PAGEREF _Toc24257 \h </w:instrText>
          </w:r>
          <w:r>
            <w:fldChar w:fldCharType="separate"/>
          </w:r>
          <w:r>
            <w:t>- 57 -</w:t>
          </w:r>
          <w:r>
            <w:fldChar w:fldCharType="end"/>
          </w:r>
          <w:r>
            <w:rPr>
              <w:rFonts w:hint="eastAsia"/>
              <w:color w:val="auto"/>
              <w:lang w:val="en-US" w:eastAsia="zh-CN"/>
            </w:rPr>
            <w:fldChar w:fldCharType="end"/>
          </w:r>
        </w:p>
        <w:p>
          <w:pPr>
            <w:pStyle w:val="10"/>
            <w:tabs>
              <w:tab w:val="right" w:leader="dot" w:pos="8732"/>
            </w:tabs>
          </w:pPr>
          <w:r>
            <w:rPr>
              <w:rFonts w:hint="eastAsia"/>
              <w:color w:val="auto"/>
              <w:lang w:val="en-US" w:eastAsia="zh-CN"/>
            </w:rPr>
            <w:fldChar w:fldCharType="begin"/>
          </w:r>
          <w:r>
            <w:rPr>
              <w:rFonts w:hint="eastAsia"/>
              <w:lang w:val="en-US" w:eastAsia="zh-CN"/>
            </w:rPr>
            <w:instrText xml:space="preserve"> HYPERLINK \l _Toc10493 </w:instrText>
          </w:r>
          <w:r>
            <w:rPr>
              <w:rFonts w:hint="eastAsia"/>
              <w:lang w:val="en-US" w:eastAsia="zh-CN"/>
            </w:rPr>
            <w:fldChar w:fldCharType="separate"/>
          </w:r>
          <w:r>
            <w:rPr>
              <w:rFonts w:hint="eastAsia" w:ascii="仿宋" w:hAnsi="仿宋" w:eastAsia="仿宋" w:cs="仿宋"/>
              <w:szCs w:val="32"/>
              <w:lang w:val="en-US" w:eastAsia="zh-CN"/>
            </w:rPr>
            <w:t>(三)规范行政执法</w:t>
          </w:r>
          <w:r>
            <w:tab/>
          </w:r>
          <w:r>
            <w:fldChar w:fldCharType="begin"/>
          </w:r>
          <w:r>
            <w:instrText xml:space="preserve"> PAGEREF _Toc10493 \h </w:instrText>
          </w:r>
          <w:r>
            <w:fldChar w:fldCharType="separate"/>
          </w:r>
          <w:r>
            <w:t>- 57 -</w:t>
          </w:r>
          <w:r>
            <w:fldChar w:fldCharType="end"/>
          </w:r>
          <w:r>
            <w:rPr>
              <w:rFonts w:hint="eastAsia"/>
              <w:color w:val="auto"/>
              <w:lang w:val="en-US" w:eastAsia="zh-CN"/>
            </w:rPr>
            <w:fldChar w:fldCharType="end"/>
          </w:r>
        </w:p>
        <w:p>
          <w:pPr>
            <w:pStyle w:val="16"/>
            <w:tabs>
              <w:tab w:val="right" w:leader="dot" w:pos="8732"/>
            </w:tabs>
          </w:pPr>
          <w:r>
            <w:rPr>
              <w:rFonts w:hint="eastAsia"/>
              <w:color w:val="auto"/>
              <w:lang w:val="en-US" w:eastAsia="zh-CN"/>
            </w:rPr>
            <w:fldChar w:fldCharType="begin"/>
          </w:r>
          <w:r>
            <w:rPr>
              <w:rFonts w:hint="eastAsia"/>
              <w:lang w:val="en-US" w:eastAsia="zh-CN"/>
            </w:rPr>
            <w:instrText xml:space="preserve"> HYPERLINK \l _Toc3440 </w:instrText>
          </w:r>
          <w:r>
            <w:rPr>
              <w:rFonts w:hint="eastAsia"/>
              <w:lang w:val="en-US" w:eastAsia="zh-CN"/>
            </w:rPr>
            <w:fldChar w:fldCharType="separate"/>
          </w:r>
          <w:r>
            <w:rPr>
              <w:rFonts w:hint="eastAsia" w:ascii="楷体" w:hAnsi="楷体" w:eastAsia="楷体" w:cs="楷体"/>
              <w:szCs w:val="32"/>
              <w:lang w:val="en-US" w:eastAsia="zh-CN"/>
            </w:rPr>
            <w:t>三、积极落实政策</w:t>
          </w:r>
          <w:r>
            <w:tab/>
          </w:r>
          <w:r>
            <w:fldChar w:fldCharType="begin"/>
          </w:r>
          <w:r>
            <w:instrText xml:space="preserve"> PAGEREF _Toc3440 \h </w:instrText>
          </w:r>
          <w:r>
            <w:fldChar w:fldCharType="separate"/>
          </w:r>
          <w:r>
            <w:t>- 57 -</w:t>
          </w:r>
          <w:r>
            <w:fldChar w:fldCharType="end"/>
          </w:r>
          <w:r>
            <w:rPr>
              <w:rFonts w:hint="eastAsia"/>
              <w:color w:val="auto"/>
              <w:lang w:val="en-US" w:eastAsia="zh-CN"/>
            </w:rPr>
            <w:fldChar w:fldCharType="end"/>
          </w:r>
        </w:p>
        <w:p>
          <w:pPr>
            <w:pStyle w:val="10"/>
            <w:tabs>
              <w:tab w:val="right" w:leader="dot" w:pos="8732"/>
            </w:tabs>
          </w:pPr>
          <w:r>
            <w:rPr>
              <w:rFonts w:hint="eastAsia"/>
              <w:color w:val="auto"/>
              <w:lang w:val="en-US" w:eastAsia="zh-CN"/>
            </w:rPr>
            <w:fldChar w:fldCharType="begin"/>
          </w:r>
          <w:r>
            <w:rPr>
              <w:rFonts w:hint="eastAsia"/>
              <w:lang w:val="en-US" w:eastAsia="zh-CN"/>
            </w:rPr>
            <w:instrText xml:space="preserve"> HYPERLINK \l _Toc7252 </w:instrText>
          </w:r>
          <w:r>
            <w:rPr>
              <w:rFonts w:hint="eastAsia"/>
              <w:lang w:val="en-US" w:eastAsia="zh-CN"/>
            </w:rPr>
            <w:fldChar w:fldCharType="separate"/>
          </w:r>
          <w:r>
            <w:rPr>
              <w:rFonts w:hint="eastAsia" w:ascii="仿宋" w:hAnsi="仿宋" w:eastAsia="仿宋" w:cs="仿宋"/>
              <w:szCs w:val="32"/>
              <w:lang w:val="en-US" w:eastAsia="zh-CN"/>
            </w:rPr>
            <w:t>(一)用足用好现有政策</w:t>
          </w:r>
          <w:r>
            <w:tab/>
          </w:r>
          <w:r>
            <w:fldChar w:fldCharType="begin"/>
          </w:r>
          <w:r>
            <w:instrText xml:space="preserve"> PAGEREF _Toc7252 \h </w:instrText>
          </w:r>
          <w:r>
            <w:fldChar w:fldCharType="separate"/>
          </w:r>
          <w:r>
            <w:t>- 57 -</w:t>
          </w:r>
          <w:r>
            <w:fldChar w:fldCharType="end"/>
          </w:r>
          <w:r>
            <w:rPr>
              <w:rFonts w:hint="eastAsia"/>
              <w:color w:val="auto"/>
              <w:lang w:val="en-US" w:eastAsia="zh-CN"/>
            </w:rPr>
            <w:fldChar w:fldCharType="end"/>
          </w:r>
        </w:p>
        <w:p>
          <w:pPr>
            <w:pStyle w:val="10"/>
            <w:tabs>
              <w:tab w:val="right" w:leader="dot" w:pos="8732"/>
            </w:tabs>
          </w:pPr>
          <w:r>
            <w:rPr>
              <w:rFonts w:hint="eastAsia"/>
              <w:color w:val="auto"/>
              <w:lang w:val="en-US" w:eastAsia="zh-CN"/>
            </w:rPr>
            <w:fldChar w:fldCharType="begin"/>
          </w:r>
          <w:r>
            <w:rPr>
              <w:rFonts w:hint="eastAsia"/>
              <w:lang w:val="en-US" w:eastAsia="zh-CN"/>
            </w:rPr>
            <w:instrText xml:space="preserve"> HYPERLINK \l _Toc27099 </w:instrText>
          </w:r>
          <w:r>
            <w:rPr>
              <w:rFonts w:hint="eastAsia"/>
              <w:lang w:val="en-US" w:eastAsia="zh-CN"/>
            </w:rPr>
            <w:fldChar w:fldCharType="separate"/>
          </w:r>
          <w:r>
            <w:rPr>
              <w:rFonts w:hint="eastAsia" w:ascii="仿宋" w:hAnsi="仿宋" w:eastAsia="仿宋" w:cs="仿宋"/>
              <w:szCs w:val="32"/>
              <w:lang w:val="en-US" w:eastAsia="zh-CN"/>
            </w:rPr>
            <w:t>(二)加快制订配套政策</w:t>
          </w:r>
          <w:r>
            <w:tab/>
          </w:r>
          <w:r>
            <w:fldChar w:fldCharType="begin"/>
          </w:r>
          <w:r>
            <w:instrText xml:space="preserve"> PAGEREF _Toc27099 \h </w:instrText>
          </w:r>
          <w:r>
            <w:fldChar w:fldCharType="separate"/>
          </w:r>
          <w:r>
            <w:t>- 58 -</w:t>
          </w:r>
          <w:r>
            <w:fldChar w:fldCharType="end"/>
          </w:r>
          <w:r>
            <w:rPr>
              <w:rFonts w:hint="eastAsia"/>
              <w:color w:val="auto"/>
              <w:lang w:val="en-US" w:eastAsia="zh-CN"/>
            </w:rPr>
            <w:fldChar w:fldCharType="end"/>
          </w:r>
        </w:p>
        <w:p>
          <w:pPr>
            <w:pStyle w:val="16"/>
            <w:tabs>
              <w:tab w:val="right" w:leader="dot" w:pos="8732"/>
            </w:tabs>
          </w:pPr>
          <w:r>
            <w:rPr>
              <w:rFonts w:hint="eastAsia"/>
              <w:color w:val="auto"/>
              <w:lang w:val="en-US" w:eastAsia="zh-CN"/>
            </w:rPr>
            <w:fldChar w:fldCharType="begin"/>
          </w:r>
          <w:r>
            <w:rPr>
              <w:rFonts w:hint="eastAsia"/>
              <w:lang w:val="en-US" w:eastAsia="zh-CN"/>
            </w:rPr>
            <w:instrText xml:space="preserve"> HYPERLINK \l _Toc17885 </w:instrText>
          </w:r>
          <w:r>
            <w:rPr>
              <w:rFonts w:hint="eastAsia"/>
              <w:lang w:val="en-US" w:eastAsia="zh-CN"/>
            </w:rPr>
            <w:fldChar w:fldCharType="separate"/>
          </w:r>
          <w:r>
            <w:rPr>
              <w:rFonts w:hint="eastAsia" w:ascii="楷体" w:hAnsi="楷体" w:eastAsia="楷体" w:cs="楷体"/>
              <w:szCs w:val="32"/>
              <w:lang w:val="en-US" w:eastAsia="zh-CN"/>
            </w:rPr>
            <w:t>四、做好项目支撑</w:t>
          </w:r>
          <w:r>
            <w:tab/>
          </w:r>
          <w:r>
            <w:fldChar w:fldCharType="begin"/>
          </w:r>
          <w:r>
            <w:instrText xml:space="preserve"> PAGEREF _Toc17885 \h </w:instrText>
          </w:r>
          <w:r>
            <w:fldChar w:fldCharType="separate"/>
          </w:r>
          <w:r>
            <w:t>- 58 -</w:t>
          </w:r>
          <w:r>
            <w:fldChar w:fldCharType="end"/>
          </w:r>
          <w:r>
            <w:rPr>
              <w:rFonts w:hint="eastAsia"/>
              <w:color w:val="auto"/>
              <w:lang w:val="en-US" w:eastAsia="zh-CN"/>
            </w:rPr>
            <w:fldChar w:fldCharType="end"/>
          </w:r>
        </w:p>
        <w:p>
          <w:pPr>
            <w:pStyle w:val="10"/>
            <w:tabs>
              <w:tab w:val="right" w:leader="dot" w:pos="8732"/>
            </w:tabs>
          </w:pPr>
          <w:r>
            <w:rPr>
              <w:rFonts w:hint="eastAsia"/>
              <w:color w:val="auto"/>
              <w:lang w:val="en-US" w:eastAsia="zh-CN"/>
            </w:rPr>
            <w:fldChar w:fldCharType="begin"/>
          </w:r>
          <w:r>
            <w:rPr>
              <w:rFonts w:hint="eastAsia"/>
              <w:lang w:val="en-US" w:eastAsia="zh-CN"/>
            </w:rPr>
            <w:instrText xml:space="preserve"> HYPERLINK \l _Toc2692 </w:instrText>
          </w:r>
          <w:r>
            <w:rPr>
              <w:rFonts w:hint="eastAsia"/>
              <w:lang w:val="en-US" w:eastAsia="zh-CN"/>
            </w:rPr>
            <w:fldChar w:fldCharType="separate"/>
          </w:r>
          <w:r>
            <w:rPr>
              <w:rFonts w:hint="eastAsia" w:ascii="仿宋" w:hAnsi="仿宋" w:eastAsia="仿宋" w:cs="仿宋"/>
              <w:szCs w:val="32"/>
              <w:lang w:val="en-US" w:eastAsia="zh-CN"/>
            </w:rPr>
            <w:t>(一)加强项目前期工作</w:t>
          </w:r>
          <w:r>
            <w:tab/>
          </w:r>
          <w:r>
            <w:fldChar w:fldCharType="begin"/>
          </w:r>
          <w:r>
            <w:instrText xml:space="preserve"> PAGEREF _Toc2692 \h </w:instrText>
          </w:r>
          <w:r>
            <w:fldChar w:fldCharType="separate"/>
          </w:r>
          <w:r>
            <w:t>- 58 -</w:t>
          </w:r>
          <w:r>
            <w:fldChar w:fldCharType="end"/>
          </w:r>
          <w:r>
            <w:rPr>
              <w:rFonts w:hint="eastAsia"/>
              <w:color w:val="auto"/>
              <w:lang w:val="en-US" w:eastAsia="zh-CN"/>
            </w:rPr>
            <w:fldChar w:fldCharType="end"/>
          </w:r>
        </w:p>
        <w:p>
          <w:pPr>
            <w:pStyle w:val="10"/>
            <w:tabs>
              <w:tab w:val="right" w:leader="dot" w:pos="8732"/>
            </w:tabs>
          </w:pPr>
          <w:r>
            <w:rPr>
              <w:rFonts w:hint="eastAsia"/>
              <w:color w:val="auto"/>
              <w:lang w:val="en-US" w:eastAsia="zh-CN"/>
            </w:rPr>
            <w:fldChar w:fldCharType="begin"/>
          </w:r>
          <w:r>
            <w:rPr>
              <w:rFonts w:hint="eastAsia"/>
              <w:lang w:val="en-US" w:eastAsia="zh-CN"/>
            </w:rPr>
            <w:instrText xml:space="preserve"> HYPERLINK \l _Toc32573 </w:instrText>
          </w:r>
          <w:r>
            <w:rPr>
              <w:rFonts w:hint="eastAsia"/>
              <w:lang w:val="en-US" w:eastAsia="zh-CN"/>
            </w:rPr>
            <w:fldChar w:fldCharType="separate"/>
          </w:r>
          <w:r>
            <w:rPr>
              <w:rFonts w:hint="eastAsia" w:ascii="仿宋" w:hAnsi="仿宋" w:eastAsia="仿宋" w:cs="仿宋"/>
              <w:szCs w:val="32"/>
              <w:lang w:val="en-US" w:eastAsia="zh-CN"/>
            </w:rPr>
            <w:t>(二)超常规推进项目建设</w:t>
          </w:r>
          <w:r>
            <w:tab/>
          </w:r>
          <w:r>
            <w:fldChar w:fldCharType="begin"/>
          </w:r>
          <w:r>
            <w:instrText xml:space="preserve"> PAGEREF _Toc32573 \h </w:instrText>
          </w:r>
          <w:r>
            <w:fldChar w:fldCharType="separate"/>
          </w:r>
          <w:r>
            <w:t>- 58 -</w:t>
          </w:r>
          <w:r>
            <w:fldChar w:fldCharType="end"/>
          </w:r>
          <w:r>
            <w:rPr>
              <w:rFonts w:hint="eastAsia"/>
              <w:color w:val="auto"/>
              <w:lang w:val="en-US" w:eastAsia="zh-CN"/>
            </w:rPr>
            <w:fldChar w:fldCharType="end"/>
          </w:r>
        </w:p>
        <w:p>
          <w:pPr>
            <w:pStyle w:val="10"/>
            <w:tabs>
              <w:tab w:val="right" w:leader="dot" w:pos="8732"/>
            </w:tabs>
          </w:pPr>
          <w:r>
            <w:rPr>
              <w:rFonts w:hint="eastAsia"/>
              <w:color w:val="auto"/>
              <w:lang w:val="en-US" w:eastAsia="zh-CN"/>
            </w:rPr>
            <w:fldChar w:fldCharType="begin"/>
          </w:r>
          <w:r>
            <w:rPr>
              <w:rFonts w:hint="eastAsia"/>
              <w:lang w:val="en-US" w:eastAsia="zh-CN"/>
            </w:rPr>
            <w:instrText xml:space="preserve"> HYPERLINK \l _Toc13049 </w:instrText>
          </w:r>
          <w:r>
            <w:rPr>
              <w:rFonts w:hint="eastAsia"/>
              <w:lang w:val="en-US" w:eastAsia="zh-CN"/>
            </w:rPr>
            <w:fldChar w:fldCharType="separate"/>
          </w:r>
          <w:r>
            <w:rPr>
              <w:rFonts w:hint="eastAsia" w:ascii="仿宋" w:hAnsi="仿宋" w:eastAsia="仿宋" w:cs="仿宋"/>
              <w:szCs w:val="32"/>
              <w:lang w:val="en-US" w:eastAsia="zh-CN"/>
            </w:rPr>
            <w:t>(三)完善项目实施机制</w:t>
          </w:r>
          <w:r>
            <w:tab/>
          </w:r>
          <w:r>
            <w:fldChar w:fldCharType="begin"/>
          </w:r>
          <w:r>
            <w:instrText xml:space="preserve"> PAGEREF _Toc13049 \h </w:instrText>
          </w:r>
          <w:r>
            <w:fldChar w:fldCharType="separate"/>
          </w:r>
          <w:r>
            <w:t>- 58 -</w:t>
          </w:r>
          <w:r>
            <w:fldChar w:fldCharType="end"/>
          </w:r>
          <w:r>
            <w:rPr>
              <w:rFonts w:hint="eastAsia"/>
              <w:color w:val="auto"/>
              <w:lang w:val="en-US" w:eastAsia="zh-CN"/>
            </w:rPr>
            <w:fldChar w:fldCharType="end"/>
          </w:r>
        </w:p>
        <w:p>
          <w:pPr>
            <w:pStyle w:val="16"/>
            <w:tabs>
              <w:tab w:val="right" w:leader="dot" w:pos="8732"/>
            </w:tabs>
          </w:pPr>
          <w:r>
            <w:rPr>
              <w:rFonts w:hint="eastAsia"/>
              <w:color w:val="auto"/>
              <w:lang w:val="en-US" w:eastAsia="zh-CN"/>
            </w:rPr>
            <w:fldChar w:fldCharType="begin"/>
          </w:r>
          <w:r>
            <w:rPr>
              <w:rFonts w:hint="eastAsia"/>
              <w:lang w:val="en-US" w:eastAsia="zh-CN"/>
            </w:rPr>
            <w:instrText xml:space="preserve"> HYPERLINK \l _Toc5184 </w:instrText>
          </w:r>
          <w:r>
            <w:rPr>
              <w:rFonts w:hint="eastAsia"/>
              <w:lang w:val="en-US" w:eastAsia="zh-CN"/>
            </w:rPr>
            <w:fldChar w:fldCharType="separate"/>
          </w:r>
          <w:r>
            <w:rPr>
              <w:rFonts w:hint="eastAsia" w:ascii="楷体" w:hAnsi="楷体" w:eastAsia="楷体" w:cs="楷体"/>
              <w:szCs w:val="32"/>
              <w:lang w:val="en-US" w:eastAsia="zh-CN"/>
            </w:rPr>
            <w:t>五、强化招商引资</w:t>
          </w:r>
          <w:r>
            <w:tab/>
          </w:r>
          <w:r>
            <w:fldChar w:fldCharType="begin"/>
          </w:r>
          <w:r>
            <w:instrText xml:space="preserve"> PAGEREF _Toc5184 \h </w:instrText>
          </w:r>
          <w:r>
            <w:fldChar w:fldCharType="separate"/>
          </w:r>
          <w:r>
            <w:t>- 59 -</w:t>
          </w:r>
          <w:r>
            <w:fldChar w:fldCharType="end"/>
          </w:r>
          <w:r>
            <w:rPr>
              <w:rFonts w:hint="eastAsia"/>
              <w:color w:val="auto"/>
              <w:lang w:val="en-US" w:eastAsia="zh-CN"/>
            </w:rPr>
            <w:fldChar w:fldCharType="end"/>
          </w:r>
        </w:p>
        <w:p>
          <w:pPr>
            <w:pStyle w:val="14"/>
            <w:tabs>
              <w:tab w:val="right" w:leader="dot" w:pos="8732"/>
            </w:tabs>
          </w:pPr>
          <w:r>
            <w:rPr>
              <w:rFonts w:hint="eastAsia"/>
              <w:color w:val="auto"/>
              <w:lang w:val="en-US" w:eastAsia="zh-CN"/>
            </w:rPr>
            <w:fldChar w:fldCharType="begin"/>
          </w:r>
          <w:r>
            <w:rPr>
              <w:rFonts w:hint="eastAsia"/>
              <w:lang w:val="en-US" w:eastAsia="zh-CN"/>
            </w:rPr>
            <w:instrText xml:space="preserve"> HYPERLINK \l _Toc9321 </w:instrText>
          </w:r>
          <w:r>
            <w:rPr>
              <w:rFonts w:hint="eastAsia"/>
              <w:lang w:val="en-US" w:eastAsia="zh-CN"/>
            </w:rPr>
            <w:fldChar w:fldCharType="separate"/>
          </w:r>
          <w:r>
            <w:rPr>
              <w:rFonts w:hint="eastAsia" w:ascii="楷体" w:hAnsi="楷体" w:eastAsia="楷体" w:cs="楷体"/>
              <w:bCs w:val="0"/>
              <w:kern w:val="2"/>
              <w:szCs w:val="32"/>
              <w:lang w:val="en-US" w:eastAsia="zh-CN" w:bidi="ar-SA"/>
            </w:rPr>
            <w:t>附表：平罗县工业发展“十四五”规划支撑项目表</w:t>
          </w:r>
          <w:r>
            <w:tab/>
          </w:r>
          <w:r>
            <w:fldChar w:fldCharType="begin"/>
          </w:r>
          <w:r>
            <w:instrText xml:space="preserve"> PAGEREF _Toc9321 \h </w:instrText>
          </w:r>
          <w:r>
            <w:fldChar w:fldCharType="separate"/>
          </w:r>
          <w:r>
            <w:t>- 59 -</w:t>
          </w:r>
          <w:r>
            <w:fldChar w:fldCharType="end"/>
          </w:r>
          <w:r>
            <w:rPr>
              <w:rFonts w:hint="eastAsia"/>
              <w:color w:val="auto"/>
              <w:lang w:val="en-US" w:eastAsia="zh-CN"/>
            </w:rPr>
            <w:fldChar w:fldCharType="end"/>
          </w:r>
        </w:p>
        <w:p>
          <w:pPr>
            <w:rPr>
              <w:rFonts w:hint="eastAsia"/>
              <w:color w:val="auto"/>
              <w:lang w:val="en-US" w:eastAsia="zh-CN"/>
            </w:rPr>
            <w:sectPr>
              <w:pgSz w:w="11906" w:h="16838"/>
              <w:pgMar w:top="1440" w:right="1587" w:bottom="1440" w:left="1587" w:header="851" w:footer="992" w:gutter="0"/>
              <w:pgNumType w:fmt="numberInDash" w:start="1"/>
              <w:cols w:space="425" w:num="1"/>
              <w:docGrid w:type="lines" w:linePitch="312" w:charSpace="0"/>
            </w:sectPr>
          </w:pPr>
          <w:r>
            <w:rPr>
              <w:rFonts w:hint="eastAsia"/>
              <w:color w:val="auto"/>
              <w:lang w:val="en-US" w:eastAsia="zh-CN"/>
            </w:rPr>
            <w:fldChar w:fldCharType="end"/>
          </w:r>
        </w:p>
      </w:sdtContent>
    </w:sdt>
    <w:p>
      <w:pPr>
        <w:pageBreakBefore w:val="0"/>
        <w:widowControl w:val="0"/>
        <w:tabs>
          <w:tab w:val="left" w:pos="2878"/>
        </w:tabs>
        <w:kinsoku/>
        <w:wordWrap/>
        <w:overflowPunct/>
        <w:topLinePunct w:val="0"/>
        <w:autoSpaceDE/>
        <w:autoSpaceDN/>
        <w:bidi w:val="0"/>
        <w:adjustRightInd/>
        <w:snapToGrid/>
        <w:spacing w:line="560" w:lineRule="exact"/>
        <w:jc w:val="center"/>
        <w:textAlignment w:val="auto"/>
        <w:rPr>
          <w:rStyle w:val="26"/>
          <w:rFonts w:hint="eastAsia" w:ascii="黑体" w:hAnsi="黑体" w:eastAsia="黑体" w:cs="黑体"/>
          <w:b w:val="0"/>
          <w:bCs w:val="0"/>
          <w:color w:val="auto"/>
          <w:sz w:val="32"/>
          <w:szCs w:val="32"/>
          <w:lang w:val="en-US" w:eastAsia="zh-CN"/>
        </w:rPr>
      </w:pPr>
      <w:bookmarkStart w:id="3" w:name="_Toc11369"/>
      <w:bookmarkStart w:id="4" w:name="_Toc16729"/>
      <w:bookmarkStart w:id="5" w:name="_Toc1605382818"/>
      <w:bookmarkStart w:id="6" w:name="_Toc23998"/>
      <w:r>
        <w:rPr>
          <w:rStyle w:val="26"/>
          <w:rFonts w:hint="eastAsia" w:ascii="黑体" w:hAnsi="黑体" w:eastAsia="黑体" w:cs="黑体"/>
          <w:b w:val="0"/>
          <w:bCs w:val="0"/>
          <w:color w:val="auto"/>
          <w:sz w:val="32"/>
          <w:szCs w:val="32"/>
          <w:lang w:val="en-US" w:eastAsia="zh-CN"/>
        </w:rPr>
        <w:t>前  言</w:t>
      </w:r>
    </w:p>
    <w:bookmarkEnd w:id="3"/>
    <w:bookmarkEnd w:id="4"/>
    <w:bookmarkEnd w:id="5"/>
    <w:bookmarkEnd w:id="6"/>
    <w:p>
      <w:pPr>
        <w:pageBreakBefore w:val="0"/>
        <w:widowControl w:val="0"/>
        <w:tabs>
          <w:tab w:val="left" w:pos="2878"/>
        </w:tabs>
        <w:kinsoku/>
        <w:wordWrap/>
        <w:overflowPunct/>
        <w:topLinePunct w:val="0"/>
        <w:autoSpaceDE/>
        <w:autoSpaceDN/>
        <w:bidi w:val="0"/>
        <w:adjustRightInd/>
        <w:snapToGrid/>
        <w:spacing w:line="560" w:lineRule="exact"/>
        <w:ind w:firstLine="600" w:firstLineChars="200"/>
        <w:jc w:val="both"/>
        <w:textAlignment w:val="auto"/>
        <w:rPr>
          <w:rFonts w:hint="default"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十四五”时期（2021年—2025年），是我国在全面建成小康社会、实现第一个百年奋斗目标之后，开启全面建设社会主义现代化新征程、向第二个百年奋斗目标进军的第一个五年，是我县深入贯彻落实习近平总书记视察宁夏重要讲话精神，在争当建设黄河流域生态保护和高质量发展先行区排头兵中打头阵当先锋的关键时期。为贯彻党的十九大和十九届二中、三中、四中、五中、六中全会精神，落实《中共宁夏回族自治区委员会关于制定国民经济和社会发展第十四个五年规划和二0三五年远景目标的建议》《中共石嘴山市委员会关于制定国民经济和社会发展第十四个五年规划和二0三五年远景目标的建议》《平罗县国民经济和社会发展第十四个五年规划和二0三五年远景目标纲要》要求，需科学编制</w:t>
      </w:r>
      <w:r>
        <w:rPr>
          <w:rFonts w:hint="eastAsia" w:ascii="仿宋_GB2312" w:hAnsi="仿宋_GB2312" w:eastAsia="仿宋_GB2312" w:cs="仿宋_GB2312"/>
          <w:color w:val="auto"/>
          <w:kern w:val="2"/>
          <w:sz w:val="30"/>
          <w:szCs w:val="30"/>
          <w:lang w:val="en-US" w:eastAsia="zh-CN" w:bidi="ar-SA"/>
        </w:rPr>
        <w:t>平罗县工业产业发展</w:t>
      </w:r>
      <w:r>
        <w:rPr>
          <w:rFonts w:hint="eastAsia" w:ascii="仿宋_GB2312" w:hAnsi="仿宋_GB2312" w:eastAsia="仿宋_GB2312" w:cs="仿宋_GB2312"/>
          <w:color w:val="auto"/>
          <w:sz w:val="30"/>
          <w:szCs w:val="30"/>
          <w:lang w:val="en-US" w:eastAsia="zh-CN"/>
        </w:rPr>
        <w:t>第十四个五年规划（以下简称《规划》）。编制</w:t>
      </w:r>
      <w:r>
        <w:rPr>
          <w:rFonts w:hint="eastAsia" w:ascii="仿宋_GB2312" w:hAnsi="仿宋_GB2312" w:eastAsia="仿宋_GB2312" w:cs="仿宋_GB2312"/>
          <w:color w:val="auto"/>
          <w:kern w:val="2"/>
          <w:sz w:val="30"/>
          <w:szCs w:val="30"/>
          <w:lang w:val="en-US" w:eastAsia="zh-CN" w:bidi="ar-SA"/>
        </w:rPr>
        <w:t>平罗县工业产业发展</w:t>
      </w:r>
      <w:r>
        <w:rPr>
          <w:rFonts w:hint="eastAsia" w:ascii="仿宋_GB2312" w:hAnsi="仿宋_GB2312" w:eastAsia="仿宋_GB2312" w:cs="仿宋_GB2312"/>
          <w:color w:val="auto"/>
          <w:sz w:val="30"/>
          <w:szCs w:val="30"/>
          <w:lang w:val="en-US" w:eastAsia="zh-CN"/>
        </w:rPr>
        <w:t>第十四个五年规划，对深入贯彻落实国家、自治区、石嘴山市和平罗县“十四五”远景目标纲要具有积极的促进作用。</w:t>
      </w:r>
      <w:r>
        <w:rPr>
          <w:rFonts w:hint="eastAsia" w:ascii="仿宋_GB2312" w:hAnsi="仿宋_GB2312" w:eastAsia="仿宋_GB2312" w:cs="仿宋_GB2312"/>
          <w:color w:val="auto"/>
          <w:kern w:val="2"/>
          <w:sz w:val="30"/>
          <w:szCs w:val="30"/>
          <w:lang w:val="en-US" w:eastAsia="zh-CN" w:bidi="ar-SA"/>
        </w:rPr>
        <w:t xml:space="preserve">《规划》主要阐述2021-2025年平罗县工业产业发展的基本目标和措施，是指导平罗县“十四五”时期工业和信息化发展的纲领文件。 </w:t>
      </w:r>
    </w:p>
    <w:p>
      <w:pPr>
        <w:pStyle w:val="4"/>
        <w:pageBreakBefore w:val="0"/>
        <w:widowControl w:val="0"/>
        <w:kinsoku/>
        <w:wordWrap/>
        <w:overflowPunct/>
        <w:topLinePunct w:val="0"/>
        <w:autoSpaceDE/>
        <w:autoSpaceDN/>
        <w:bidi w:val="0"/>
        <w:adjustRightInd/>
        <w:snapToGrid/>
        <w:spacing w:line="560" w:lineRule="exact"/>
        <w:ind w:firstLine="643" w:firstLineChars="200"/>
        <w:jc w:val="both"/>
        <w:textAlignment w:val="auto"/>
        <w:outlineLvl w:val="0"/>
        <w:rPr>
          <w:rFonts w:hint="eastAsia" w:ascii="楷体" w:hAnsi="楷体" w:eastAsia="楷体" w:cs="楷体"/>
          <w:color w:val="auto"/>
          <w:sz w:val="32"/>
          <w:szCs w:val="32"/>
          <w:lang w:val="en-US" w:eastAsia="zh-CN"/>
        </w:rPr>
      </w:pPr>
      <w:bookmarkStart w:id="7" w:name="_Toc3030"/>
      <w:bookmarkStart w:id="8" w:name="_Toc3645"/>
      <w:bookmarkStart w:id="9" w:name="_Toc2954"/>
      <w:bookmarkStart w:id="10" w:name="_Toc18015"/>
      <w:bookmarkStart w:id="11" w:name="_Toc1383345068"/>
      <w:bookmarkStart w:id="12" w:name="_Toc14929"/>
      <w:r>
        <w:rPr>
          <w:rFonts w:hint="eastAsia" w:ascii="楷体" w:hAnsi="楷体" w:eastAsia="楷体" w:cs="楷体"/>
          <w:color w:val="auto"/>
          <w:sz w:val="32"/>
          <w:szCs w:val="32"/>
          <w:lang w:val="en-US" w:eastAsia="zh-CN"/>
        </w:rPr>
        <w:t>一、总体要求</w:t>
      </w:r>
      <w:bookmarkEnd w:id="7"/>
      <w:bookmarkEnd w:id="8"/>
      <w:bookmarkEnd w:id="9"/>
      <w:bookmarkEnd w:id="10"/>
      <w:bookmarkEnd w:id="11"/>
      <w:bookmarkEnd w:id="12"/>
    </w:p>
    <w:p>
      <w:pPr>
        <w:pageBreakBefore w:val="0"/>
        <w:widowControl w:val="0"/>
        <w:kinsoku/>
        <w:wordWrap/>
        <w:overflowPunct/>
        <w:topLinePunct w:val="0"/>
        <w:autoSpaceDE/>
        <w:autoSpaceDN/>
        <w:bidi w:val="0"/>
        <w:adjustRightInd/>
        <w:snapToGrid/>
        <w:spacing w:line="560" w:lineRule="exact"/>
        <w:ind w:firstLine="528" w:firstLineChars="0"/>
        <w:jc w:val="both"/>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坚持以习近平新时代中国特色社会主义思想为指导，全面贯彻党的十九大和十九届二中、三中、四中、五中全会精神，深入</w:t>
      </w:r>
      <w:r>
        <w:rPr>
          <w:rFonts w:hint="eastAsia" w:ascii="仿宋_GB2312" w:hAnsi="仿宋_GB2312" w:eastAsia="仿宋_GB2312" w:cs="仿宋_GB2312"/>
          <w:color w:val="auto"/>
          <w:kern w:val="2"/>
          <w:sz w:val="30"/>
          <w:szCs w:val="30"/>
          <w:lang w:val="en-US" w:eastAsia="zh-CN" w:bidi="ar-SA"/>
        </w:rPr>
        <w:t>贯彻习近平总书记视察宁夏重要讲话精神，全面落实自治区、市党委政府关于建设黄河流域生态保护和高质量发展先行区的决策</w:t>
      </w:r>
      <w:r>
        <w:rPr>
          <w:rFonts w:hint="eastAsia" w:ascii="仿宋_GB2312" w:hAnsi="仿宋_GB2312" w:eastAsia="仿宋_GB2312" w:cs="仿宋_GB2312"/>
          <w:color w:val="auto"/>
          <w:sz w:val="30"/>
          <w:szCs w:val="30"/>
          <w:lang w:val="en-US" w:eastAsia="zh-CN"/>
        </w:rPr>
        <w:t>部署，紧紧围绕“守好三条生命线、走出一条高质量发展的新路子”的工作要求，坚持新发展理念，坚持稳中求进工作总基调，坚持深化改革开放，坚持以人民为中心，坚持全局视野、战略眼光和底线思维，着力固根基、扬优势、补短板、强弱项，高质量编制</w:t>
      </w:r>
      <w:r>
        <w:rPr>
          <w:rFonts w:hint="eastAsia" w:ascii="仿宋_GB2312" w:hAnsi="仿宋_GB2312" w:eastAsia="仿宋_GB2312" w:cs="仿宋_GB2312"/>
          <w:color w:val="auto"/>
          <w:kern w:val="2"/>
          <w:sz w:val="30"/>
          <w:szCs w:val="30"/>
          <w:lang w:val="en-US" w:eastAsia="zh-CN" w:bidi="ar-SA"/>
        </w:rPr>
        <w:t>平罗县工业产业发展</w:t>
      </w:r>
      <w:r>
        <w:rPr>
          <w:rFonts w:hint="eastAsia" w:ascii="仿宋_GB2312" w:hAnsi="仿宋_GB2312" w:eastAsia="仿宋_GB2312" w:cs="仿宋_GB2312"/>
          <w:color w:val="auto"/>
          <w:sz w:val="30"/>
          <w:szCs w:val="30"/>
          <w:lang w:val="en-US" w:eastAsia="zh-CN"/>
        </w:rPr>
        <w:t>“十四五”规划，为全力推进</w:t>
      </w:r>
      <w:r>
        <w:rPr>
          <w:rFonts w:hint="eastAsia" w:ascii="仿宋_GB2312" w:hAnsi="仿宋_GB2312" w:eastAsia="仿宋_GB2312" w:cs="仿宋_GB2312"/>
          <w:color w:val="auto"/>
          <w:kern w:val="2"/>
          <w:sz w:val="30"/>
          <w:szCs w:val="30"/>
          <w:lang w:val="en-US" w:eastAsia="zh-CN" w:bidi="ar-SA"/>
        </w:rPr>
        <w:t>全县工业</w:t>
      </w:r>
      <w:r>
        <w:rPr>
          <w:rFonts w:hint="eastAsia" w:ascii="仿宋_GB2312" w:hAnsi="仿宋_GB2312" w:eastAsia="仿宋_GB2312" w:cs="仿宋_GB2312"/>
          <w:color w:val="auto"/>
          <w:sz w:val="30"/>
          <w:szCs w:val="30"/>
          <w:lang w:val="en-US" w:eastAsia="zh-CN"/>
        </w:rPr>
        <w:t>高质量发展，继续建设经济繁荣、民族团结、环境优美、人民富裕的美丽新平罗提供可靠的规划保障和科学的政策指引。</w:t>
      </w:r>
    </w:p>
    <w:p>
      <w:pPr>
        <w:pStyle w:val="4"/>
        <w:pageBreakBefore w:val="0"/>
        <w:widowControl w:val="0"/>
        <w:kinsoku/>
        <w:wordWrap/>
        <w:overflowPunct/>
        <w:topLinePunct w:val="0"/>
        <w:autoSpaceDE/>
        <w:autoSpaceDN/>
        <w:bidi w:val="0"/>
        <w:adjustRightInd/>
        <w:snapToGrid/>
        <w:spacing w:line="560" w:lineRule="exact"/>
        <w:ind w:firstLine="643" w:firstLineChars="200"/>
        <w:jc w:val="both"/>
        <w:textAlignment w:val="auto"/>
        <w:outlineLvl w:val="0"/>
        <w:rPr>
          <w:rFonts w:hint="eastAsia" w:ascii="楷体" w:hAnsi="楷体" w:eastAsia="楷体" w:cs="楷体"/>
          <w:color w:val="auto"/>
          <w:sz w:val="32"/>
          <w:szCs w:val="32"/>
          <w:lang w:val="en-US" w:eastAsia="zh-CN"/>
        </w:rPr>
      </w:pPr>
      <w:bookmarkStart w:id="13" w:name="_Toc28641"/>
      <w:bookmarkStart w:id="14" w:name="_Toc11826"/>
      <w:bookmarkStart w:id="15" w:name="_Toc12412"/>
      <w:bookmarkStart w:id="16" w:name="_Toc2040926585"/>
      <w:bookmarkStart w:id="17" w:name="_Toc29430"/>
      <w:bookmarkStart w:id="18" w:name="_Toc26144"/>
      <w:r>
        <w:rPr>
          <w:rFonts w:hint="eastAsia" w:ascii="楷体" w:hAnsi="楷体" w:eastAsia="楷体" w:cs="楷体"/>
          <w:color w:val="auto"/>
          <w:sz w:val="32"/>
          <w:szCs w:val="32"/>
          <w:lang w:val="en-US" w:eastAsia="zh-CN"/>
        </w:rPr>
        <w:t>二、编制原则</w:t>
      </w:r>
      <w:bookmarkEnd w:id="13"/>
      <w:bookmarkEnd w:id="14"/>
      <w:bookmarkEnd w:id="15"/>
      <w:bookmarkEnd w:id="16"/>
      <w:bookmarkEnd w:id="17"/>
      <w:bookmarkEnd w:id="18"/>
    </w:p>
    <w:p>
      <w:pPr>
        <w:pageBreakBefore w:val="0"/>
        <w:widowControl w:val="0"/>
        <w:kinsoku/>
        <w:wordWrap/>
        <w:overflowPunct/>
        <w:topLinePunct w:val="0"/>
        <w:autoSpaceDE/>
        <w:autoSpaceDN/>
        <w:bidi w:val="0"/>
        <w:adjustRightInd/>
        <w:snapToGrid/>
        <w:spacing w:line="560" w:lineRule="exact"/>
        <w:ind w:firstLine="600" w:firstLineChars="200"/>
        <w:jc w:val="both"/>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一是坚持立足外部环境和内部条件相统筹。</w:t>
      </w:r>
    </w:p>
    <w:p>
      <w:pPr>
        <w:pageBreakBefore w:val="0"/>
        <w:widowControl w:val="0"/>
        <w:kinsoku/>
        <w:wordWrap/>
        <w:overflowPunct/>
        <w:topLinePunct w:val="0"/>
        <w:autoSpaceDE/>
        <w:autoSpaceDN/>
        <w:bidi w:val="0"/>
        <w:adjustRightInd/>
        <w:snapToGrid/>
        <w:spacing w:line="560" w:lineRule="exact"/>
        <w:ind w:firstLine="600" w:firstLineChars="200"/>
        <w:jc w:val="both"/>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既要深入研判世界百年未有之大变局带来的机遇和挑战，全面分析国内经济社会发展各领域动态趋势；又要贯彻落实自治区党委和政府部署要求，认真总结平罗县“十三五”规划实施经验，科学把握我县发展趋势和阶段性特征。</w:t>
      </w:r>
    </w:p>
    <w:p>
      <w:pPr>
        <w:pageBreakBefore w:val="0"/>
        <w:widowControl w:val="0"/>
        <w:kinsoku/>
        <w:wordWrap/>
        <w:overflowPunct/>
        <w:topLinePunct w:val="0"/>
        <w:autoSpaceDE/>
        <w:autoSpaceDN/>
        <w:bidi w:val="0"/>
        <w:adjustRightInd/>
        <w:snapToGrid/>
        <w:spacing w:line="560" w:lineRule="exact"/>
        <w:ind w:firstLine="528" w:firstLineChars="0"/>
        <w:jc w:val="both"/>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二是坚持目标导向和问题导向相统一。</w:t>
      </w:r>
    </w:p>
    <w:p>
      <w:pPr>
        <w:pageBreakBefore w:val="0"/>
        <w:widowControl w:val="0"/>
        <w:kinsoku/>
        <w:wordWrap/>
        <w:overflowPunct/>
        <w:topLinePunct w:val="0"/>
        <w:autoSpaceDE/>
        <w:autoSpaceDN/>
        <w:bidi w:val="0"/>
        <w:adjustRightInd/>
        <w:snapToGrid/>
        <w:spacing w:line="560" w:lineRule="exact"/>
        <w:ind w:firstLine="528" w:firstLineChars="0"/>
        <w:jc w:val="both"/>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既要着眼于基本实现社会主义现代化长远目标，合理确定各项任务指标；又要深入调查研究，找准制约我县高质量发展的突出问题和短板弱项，集中力量予以解决。</w:t>
      </w:r>
    </w:p>
    <w:p>
      <w:pPr>
        <w:pageBreakBefore w:val="0"/>
        <w:widowControl w:val="0"/>
        <w:tabs>
          <w:tab w:val="left" w:pos="762"/>
        </w:tabs>
        <w:kinsoku/>
        <w:wordWrap/>
        <w:overflowPunct/>
        <w:topLinePunct w:val="0"/>
        <w:autoSpaceDE/>
        <w:autoSpaceDN/>
        <w:bidi w:val="0"/>
        <w:adjustRightInd/>
        <w:snapToGrid/>
        <w:spacing w:line="560" w:lineRule="exact"/>
        <w:ind w:left="0" w:leftChars="0" w:firstLine="393" w:firstLineChars="131"/>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三是坚持全面规划和突出重点相协调。</w:t>
      </w:r>
    </w:p>
    <w:p>
      <w:pPr>
        <w:pageBreakBefore w:val="0"/>
        <w:widowControl w:val="0"/>
        <w:tabs>
          <w:tab w:val="left" w:pos="762"/>
        </w:tabs>
        <w:kinsoku/>
        <w:wordWrap/>
        <w:overflowPunct/>
        <w:topLinePunct w:val="0"/>
        <w:autoSpaceDE/>
        <w:autoSpaceDN/>
        <w:bidi w:val="0"/>
        <w:adjustRightInd/>
        <w:snapToGrid/>
        <w:spacing w:line="560" w:lineRule="exact"/>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既要着眼于全面推进“五位一体”总体布局，统筹经济社会各领域各方面；又要突出重点方向、重点领域和重大课题，增强对规划实施的支撑保障作用。</w:t>
      </w:r>
    </w:p>
    <w:p>
      <w:pPr>
        <w:pageBreakBefore w:val="0"/>
        <w:widowControl w:val="0"/>
        <w:tabs>
          <w:tab w:val="left" w:pos="762"/>
        </w:tabs>
        <w:kinsoku/>
        <w:wordWrap/>
        <w:overflowPunct/>
        <w:topLinePunct w:val="0"/>
        <w:autoSpaceDE/>
        <w:autoSpaceDN/>
        <w:bidi w:val="0"/>
        <w:adjustRightInd/>
        <w:snapToGrid/>
        <w:spacing w:line="560" w:lineRule="exact"/>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四是坚持战略性和操作性相结合。</w:t>
      </w:r>
    </w:p>
    <w:p>
      <w:pPr>
        <w:pageBreakBefore w:val="0"/>
        <w:widowControl w:val="0"/>
        <w:tabs>
          <w:tab w:val="left" w:pos="762"/>
        </w:tabs>
        <w:kinsoku/>
        <w:wordWrap/>
        <w:overflowPunct/>
        <w:topLinePunct w:val="0"/>
        <w:autoSpaceDE/>
        <w:autoSpaceDN/>
        <w:bidi w:val="0"/>
        <w:adjustRightInd/>
        <w:snapToGrid/>
        <w:spacing w:line="560" w:lineRule="exact"/>
        <w:ind w:firstLine="600" w:firstLineChars="200"/>
        <w:jc w:val="both"/>
        <w:textAlignment w:val="auto"/>
        <w:rPr>
          <w:rFonts w:hint="eastAsia" w:ascii="仿宋_GB2312" w:hAnsi="仿宋_GB2312" w:eastAsia="仿宋_GB2312" w:cs="仿宋_GB2312"/>
          <w:b/>
          <w:bCs/>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既要增强规划的战略性、指导性，更好发挥规划的战略导向作用；又要突出规划的约束力和可操作性，积极谋划一批重大政策和重大项目，确保规划有支撑、能落实、易评估。</w:t>
      </w:r>
    </w:p>
    <w:p>
      <w:pPr>
        <w:pStyle w:val="4"/>
        <w:pageBreakBefore w:val="0"/>
        <w:widowControl w:val="0"/>
        <w:kinsoku/>
        <w:wordWrap/>
        <w:overflowPunct/>
        <w:topLinePunct w:val="0"/>
        <w:autoSpaceDE/>
        <w:autoSpaceDN/>
        <w:bidi w:val="0"/>
        <w:adjustRightInd/>
        <w:snapToGrid/>
        <w:spacing w:line="560" w:lineRule="exact"/>
        <w:ind w:firstLine="643" w:firstLineChars="200"/>
        <w:jc w:val="both"/>
        <w:textAlignment w:val="auto"/>
        <w:outlineLvl w:val="0"/>
        <w:rPr>
          <w:rFonts w:hint="eastAsia" w:ascii="楷体" w:hAnsi="楷体" w:eastAsia="楷体" w:cs="楷体"/>
          <w:color w:val="auto"/>
          <w:sz w:val="32"/>
          <w:szCs w:val="32"/>
          <w:lang w:val="en-US" w:eastAsia="zh-CN"/>
        </w:rPr>
      </w:pPr>
      <w:bookmarkStart w:id="19" w:name="_Toc8321"/>
      <w:bookmarkStart w:id="20" w:name="_Toc27385"/>
      <w:bookmarkStart w:id="21" w:name="_Toc13376"/>
      <w:bookmarkStart w:id="22" w:name="_Toc1327590493"/>
      <w:bookmarkStart w:id="23" w:name="_Toc19166"/>
      <w:bookmarkStart w:id="24" w:name="_Toc12613"/>
      <w:r>
        <w:rPr>
          <w:rFonts w:hint="eastAsia" w:ascii="楷体" w:hAnsi="楷体" w:eastAsia="楷体" w:cs="楷体"/>
          <w:color w:val="auto"/>
          <w:sz w:val="32"/>
          <w:szCs w:val="32"/>
          <w:lang w:val="en-US" w:eastAsia="zh-CN"/>
        </w:rPr>
        <w:t>三、编制依据</w:t>
      </w:r>
      <w:bookmarkEnd w:id="19"/>
      <w:bookmarkEnd w:id="20"/>
      <w:bookmarkEnd w:id="21"/>
      <w:bookmarkEnd w:id="22"/>
      <w:bookmarkEnd w:id="23"/>
      <w:bookmarkEnd w:id="24"/>
    </w:p>
    <w:p>
      <w:pPr>
        <w:keepNext w:val="0"/>
        <w:keepLines w:val="0"/>
        <w:pageBreakBefore w:val="0"/>
        <w:widowControl w:val="0"/>
        <w:suppressLineNumbers w:val="0"/>
        <w:kinsoku/>
        <w:wordWrap/>
        <w:overflowPunct/>
        <w:topLinePunct w:val="0"/>
        <w:autoSpaceDE/>
        <w:autoSpaceDN/>
        <w:bidi w:val="0"/>
        <w:adjustRightInd/>
        <w:snapToGrid/>
        <w:spacing w:line="560" w:lineRule="exact"/>
        <w:ind w:firstLine="600" w:firstLineChars="200"/>
        <w:jc w:val="both"/>
        <w:textAlignment w:val="auto"/>
        <w:rPr>
          <w:rFonts w:hint="eastAsia" w:ascii="仿宋_GB2312" w:hAnsi="仿宋_GB2312" w:eastAsia="仿宋_GB2312" w:cs="仿宋_GB2312"/>
          <w:b w:val="0"/>
          <w:bCs w:val="0"/>
          <w:color w:val="000000" w:themeColor="text1"/>
          <w:kern w:val="0"/>
          <w:sz w:val="30"/>
          <w:szCs w:val="30"/>
          <w:highlight w:val="none"/>
          <w:u w:val="none"/>
          <w:lang w:val="en-US" w:eastAsia="zh-CN"/>
          <w14:textFill>
            <w14:solidFill>
              <w14:schemeClr w14:val="tx1"/>
            </w14:solidFill>
          </w14:textFill>
        </w:rPr>
      </w:pPr>
      <w:r>
        <w:rPr>
          <w:rFonts w:hint="eastAsia" w:ascii="仿宋_GB2312" w:hAnsi="仿宋_GB2312" w:eastAsia="仿宋_GB2312" w:cs="仿宋_GB2312"/>
          <w:b w:val="0"/>
          <w:bCs w:val="0"/>
          <w:color w:val="auto"/>
          <w:sz w:val="30"/>
          <w:szCs w:val="30"/>
        </w:rPr>
        <w:t>依据《宁夏回族自治区国民经济和社会发展第十四个五年规划纲要》、《中共宁夏回族自治区委员会关于建设黄河流域生态保护和高质量发展先行区的实施意见》、</w:t>
      </w:r>
      <w:r>
        <w:rPr>
          <w:rFonts w:hint="eastAsia" w:ascii="仿宋_GB2312" w:hAnsi="仿宋_GB2312" w:eastAsia="仿宋_GB2312" w:cs="仿宋_GB2312"/>
          <w:color w:val="auto"/>
          <w:sz w:val="30"/>
          <w:szCs w:val="30"/>
        </w:rPr>
        <w:t>《宁夏制造业高质量发展“十四五”规划》</w:t>
      </w:r>
      <w:r>
        <w:rPr>
          <w:rFonts w:hint="eastAsia" w:ascii="仿宋_GB2312" w:hAnsi="仿宋_GB2312" w:eastAsia="仿宋_GB2312" w:cs="仿宋_GB2312"/>
          <w:color w:val="auto"/>
          <w:sz w:val="30"/>
          <w:szCs w:val="30"/>
          <w:lang w:eastAsia="zh-CN"/>
        </w:rPr>
        <w:t>、</w:t>
      </w:r>
      <w:r>
        <w:rPr>
          <w:rFonts w:hint="eastAsia" w:ascii="仿宋_GB2312" w:hAnsi="仿宋_GB2312" w:eastAsia="仿宋_GB2312" w:cs="仿宋_GB2312"/>
          <w:b w:val="0"/>
          <w:bCs w:val="0"/>
          <w:color w:val="auto"/>
          <w:sz w:val="30"/>
          <w:szCs w:val="30"/>
        </w:rPr>
        <w:t>《石嘴山市国民经济和社会发展第十四个五年规划纲要》</w:t>
      </w:r>
      <w:r>
        <w:rPr>
          <w:rFonts w:hint="eastAsia" w:ascii="仿宋_GB2312" w:hAnsi="仿宋_GB2312" w:eastAsia="仿宋_GB2312" w:cs="仿宋_GB2312"/>
          <w:color w:val="auto"/>
          <w:sz w:val="30"/>
          <w:szCs w:val="30"/>
          <w:lang w:val="en-US" w:eastAsia="zh-CN"/>
        </w:rPr>
        <w:t>精神和</w:t>
      </w:r>
      <w:r>
        <w:rPr>
          <w:rFonts w:hint="eastAsia" w:ascii="仿宋_GB2312" w:hAnsi="仿宋_GB2312" w:eastAsia="仿宋_GB2312" w:cs="仿宋_GB2312"/>
          <w:color w:val="auto"/>
          <w:sz w:val="30"/>
          <w:szCs w:val="30"/>
        </w:rPr>
        <w:t>《</w:t>
      </w:r>
      <w:r>
        <w:rPr>
          <w:rFonts w:hint="eastAsia" w:ascii="仿宋_GB2312" w:hAnsi="仿宋_GB2312" w:eastAsia="仿宋_GB2312" w:cs="仿宋_GB2312"/>
          <w:color w:val="auto"/>
          <w:sz w:val="30"/>
          <w:szCs w:val="30"/>
          <w:lang w:eastAsia="zh-CN"/>
        </w:rPr>
        <w:t>平罗县</w:t>
      </w:r>
      <w:r>
        <w:rPr>
          <w:rFonts w:hint="eastAsia" w:ascii="仿宋_GB2312" w:hAnsi="仿宋_GB2312" w:eastAsia="仿宋_GB2312" w:cs="仿宋_GB2312"/>
          <w:color w:val="auto"/>
          <w:sz w:val="30"/>
          <w:szCs w:val="30"/>
        </w:rPr>
        <w:t>国民经济和社会发展第十四个五年规划纲要》</w:t>
      </w:r>
      <w:r>
        <w:rPr>
          <w:rFonts w:hint="eastAsia" w:ascii="仿宋_GB2312" w:hAnsi="仿宋_GB2312" w:eastAsia="仿宋_GB2312" w:cs="仿宋_GB2312"/>
          <w:color w:val="auto"/>
          <w:sz w:val="30"/>
          <w:szCs w:val="30"/>
          <w:lang w:eastAsia="zh-CN"/>
        </w:rPr>
        <w:t>、</w:t>
      </w:r>
      <w:r>
        <w:rPr>
          <w:rFonts w:hint="eastAsia" w:ascii="仿宋_GB2312" w:hAnsi="仿宋_GB2312" w:eastAsia="仿宋_GB2312" w:cs="仿宋_GB2312"/>
          <w:bCs/>
          <w:color w:val="auto"/>
          <w:kern w:val="0"/>
          <w:sz w:val="30"/>
          <w:szCs w:val="30"/>
          <w:u w:val="none"/>
        </w:rPr>
        <w:t>中共平罗县</w:t>
      </w:r>
      <w:r>
        <w:rPr>
          <w:rFonts w:hint="eastAsia" w:ascii="仿宋_GB2312" w:hAnsi="仿宋_GB2312" w:eastAsia="仿宋_GB2312" w:cs="仿宋_GB2312"/>
          <w:bCs/>
          <w:color w:val="000000"/>
          <w:kern w:val="0"/>
          <w:sz w:val="30"/>
          <w:szCs w:val="30"/>
          <w:u w:val="none"/>
        </w:rPr>
        <w:t>第十</w:t>
      </w:r>
      <w:r>
        <w:rPr>
          <w:rFonts w:hint="eastAsia" w:ascii="仿宋_GB2312" w:hAnsi="仿宋_GB2312" w:eastAsia="仿宋_GB2312" w:cs="仿宋_GB2312"/>
          <w:bCs/>
          <w:color w:val="000000"/>
          <w:kern w:val="0"/>
          <w:sz w:val="30"/>
          <w:szCs w:val="30"/>
          <w:u w:val="none"/>
          <w:lang w:eastAsia="zh-CN"/>
        </w:rPr>
        <w:t>五</w:t>
      </w:r>
      <w:r>
        <w:rPr>
          <w:rFonts w:hint="eastAsia" w:ascii="仿宋_GB2312" w:hAnsi="仿宋_GB2312" w:eastAsia="仿宋_GB2312" w:cs="仿宋_GB2312"/>
          <w:bCs/>
          <w:color w:val="000000"/>
          <w:kern w:val="0"/>
          <w:sz w:val="30"/>
          <w:szCs w:val="30"/>
          <w:u w:val="none"/>
        </w:rPr>
        <w:t>次代表大会上的报告</w:t>
      </w:r>
      <w:r>
        <w:rPr>
          <w:rFonts w:hint="eastAsia" w:ascii="仿宋_GB2312" w:hAnsi="仿宋_GB2312" w:eastAsia="仿宋_GB2312" w:cs="仿宋_GB2312"/>
          <w:bCs/>
          <w:color w:val="000000"/>
          <w:kern w:val="0"/>
          <w:sz w:val="30"/>
          <w:szCs w:val="30"/>
          <w:u w:val="none"/>
          <w:lang w:val="en-US" w:eastAsia="zh-CN"/>
        </w:rPr>
        <w:t>——</w:t>
      </w:r>
      <w:r>
        <w:rPr>
          <w:rFonts w:hint="eastAsia" w:ascii="仿宋_GB2312" w:hAnsi="仿宋_GB2312" w:eastAsia="仿宋_GB2312" w:cs="仿宋_GB2312"/>
          <w:bCs/>
          <w:color w:val="000000"/>
          <w:kern w:val="0"/>
          <w:sz w:val="30"/>
          <w:szCs w:val="30"/>
          <w:u w:val="none"/>
          <w:lang w:eastAsia="zh-CN"/>
        </w:rPr>
        <w:t>《</w:t>
      </w:r>
      <w:r>
        <w:rPr>
          <w:rFonts w:hint="eastAsia" w:ascii="仿宋_GB2312" w:hAnsi="仿宋_GB2312" w:eastAsia="仿宋_GB2312" w:cs="仿宋_GB2312"/>
          <w:color w:val="000000"/>
          <w:spacing w:val="-4"/>
          <w:sz w:val="30"/>
          <w:szCs w:val="30"/>
          <w:u w:val="none"/>
        </w:rPr>
        <w:t>奋力</w:t>
      </w:r>
      <w:r>
        <w:rPr>
          <w:rFonts w:hint="eastAsia" w:ascii="仿宋_GB2312" w:hAnsi="仿宋_GB2312" w:eastAsia="仿宋_GB2312" w:cs="仿宋_GB2312"/>
          <w:color w:val="000000" w:themeColor="text1"/>
          <w:sz w:val="30"/>
          <w:szCs w:val="30"/>
          <w:lang w:val="en-US" w:eastAsia="zh-CN"/>
          <w14:textFill>
            <w14:solidFill>
              <w14:schemeClr w14:val="tx1"/>
            </w14:solidFill>
          </w14:textFill>
        </w:rPr>
        <w:t>担当先行区建设排头兵</w:t>
      </w:r>
      <w:r>
        <w:rPr>
          <w:rFonts w:hint="eastAsia" w:ascii="仿宋_GB2312" w:hAnsi="仿宋_GB2312" w:eastAsia="仿宋_GB2312" w:cs="仿宋_GB2312"/>
          <w:color w:val="0000FF"/>
          <w:sz w:val="30"/>
          <w:szCs w:val="30"/>
          <w:lang w:val="en-US" w:eastAsia="zh-CN"/>
        </w:rPr>
        <w:t>、</w:t>
      </w:r>
      <w:r>
        <w:rPr>
          <w:rFonts w:hint="eastAsia" w:ascii="仿宋_GB2312" w:hAnsi="仿宋_GB2312" w:eastAsia="仿宋_GB2312" w:cs="仿宋_GB2312"/>
          <w:color w:val="000000"/>
          <w:spacing w:val="-4"/>
          <w:sz w:val="30"/>
          <w:szCs w:val="30"/>
          <w:u w:val="none"/>
        </w:rPr>
        <w:t>高质量建设富裕美丽新平罗</w:t>
      </w:r>
      <w:r>
        <w:rPr>
          <w:rFonts w:hint="eastAsia" w:ascii="仿宋_GB2312" w:hAnsi="仿宋_GB2312" w:eastAsia="仿宋_GB2312" w:cs="仿宋_GB2312"/>
          <w:color w:val="000000"/>
          <w:spacing w:val="-4"/>
          <w:sz w:val="30"/>
          <w:szCs w:val="30"/>
          <w:u w:val="none"/>
          <w:lang w:eastAsia="zh-CN"/>
        </w:rPr>
        <w:t>》指出</w:t>
      </w:r>
      <w:r>
        <w:rPr>
          <w:rFonts w:hint="eastAsia" w:ascii="仿宋_GB2312" w:hAnsi="仿宋_GB2312" w:eastAsia="仿宋_GB2312" w:cs="仿宋_GB2312"/>
          <w:b w:val="0"/>
          <w:bCs w:val="0"/>
          <w:color w:val="000000" w:themeColor="text1"/>
          <w:sz w:val="30"/>
          <w:szCs w:val="30"/>
          <w:u w:val="none"/>
          <w:lang w:eastAsia="zh-CN"/>
          <w14:textFill>
            <w14:solidFill>
              <w14:schemeClr w14:val="tx1"/>
            </w14:solidFill>
          </w14:textFill>
        </w:rPr>
        <w:t>未来五年工作，</w:t>
      </w:r>
      <w:r>
        <w:rPr>
          <w:rFonts w:hint="eastAsia" w:ascii="仿宋_GB2312" w:hAnsi="仿宋_GB2312" w:eastAsia="仿宋_GB2312" w:cs="仿宋_GB2312"/>
          <w:b w:val="0"/>
          <w:bCs w:val="0"/>
          <w:color w:val="auto"/>
          <w:kern w:val="0"/>
          <w:sz w:val="32"/>
          <w:szCs w:val="32"/>
          <w:highlight w:val="none"/>
          <w:u w:val="none"/>
          <w:lang w:val="en-US" w:eastAsia="zh-CN" w:bidi="ar"/>
        </w:rPr>
        <w:t>必须以新发展理念为引领，聚焦“七个明显”的奋斗目标，紧扣“1233”的方向路径和战略任务。</w:t>
      </w:r>
    </w:p>
    <w:p>
      <w:pPr>
        <w:pStyle w:val="3"/>
        <w:pageBreakBefore w:val="0"/>
        <w:kinsoku/>
        <w:wordWrap/>
        <w:overflowPunct/>
        <w:topLinePunct w:val="0"/>
        <w:autoSpaceDE/>
        <w:autoSpaceDN/>
        <w:bidi w:val="0"/>
        <w:adjustRightInd/>
        <w:snapToGrid/>
        <w:spacing w:line="560" w:lineRule="exact"/>
        <w:jc w:val="center"/>
        <w:textAlignment w:val="auto"/>
        <w:rPr>
          <w:rFonts w:hint="eastAsia"/>
          <w:color w:val="auto"/>
          <w:sz w:val="32"/>
          <w:szCs w:val="32"/>
          <w:lang w:val="en-US" w:eastAsia="zh-CN"/>
        </w:rPr>
      </w:pPr>
      <w:bookmarkStart w:id="25" w:name="_Toc1370690052"/>
    </w:p>
    <w:p>
      <w:pPr>
        <w:pStyle w:val="3"/>
        <w:pageBreakBefore w:val="0"/>
        <w:kinsoku/>
        <w:wordWrap/>
        <w:overflowPunct/>
        <w:topLinePunct w:val="0"/>
        <w:autoSpaceDE/>
        <w:autoSpaceDN/>
        <w:bidi w:val="0"/>
        <w:adjustRightInd/>
        <w:snapToGrid/>
        <w:spacing w:line="560" w:lineRule="exact"/>
        <w:jc w:val="center"/>
        <w:textAlignment w:val="auto"/>
        <w:rPr>
          <w:rFonts w:hint="eastAsia"/>
          <w:color w:val="auto"/>
          <w:sz w:val="32"/>
          <w:szCs w:val="32"/>
          <w:lang w:val="en-US" w:eastAsia="zh-CN"/>
        </w:rPr>
      </w:pPr>
      <w:bookmarkStart w:id="26" w:name="_Toc15566"/>
      <w:r>
        <w:rPr>
          <w:rFonts w:hint="eastAsia" w:ascii="黑体" w:hAnsi="黑体" w:eastAsia="黑体" w:cs="黑体"/>
          <w:b w:val="0"/>
          <w:bCs w:val="0"/>
          <w:color w:val="auto"/>
          <w:sz w:val="32"/>
          <w:szCs w:val="32"/>
          <w:lang w:val="en-US" w:eastAsia="zh-CN"/>
        </w:rPr>
        <w:t>第一章  发展回顾和发展环境</w:t>
      </w:r>
      <w:bookmarkEnd w:id="0"/>
      <w:bookmarkEnd w:id="1"/>
      <w:bookmarkEnd w:id="2"/>
      <w:bookmarkEnd w:id="25"/>
      <w:bookmarkEnd w:id="26"/>
    </w:p>
    <w:p>
      <w:pPr>
        <w:pageBreakBefore w:val="0"/>
        <w:tabs>
          <w:tab w:val="left" w:pos="1112"/>
        </w:tabs>
        <w:kinsoku/>
        <w:wordWrap/>
        <w:overflowPunct/>
        <w:topLinePunct w:val="0"/>
        <w:autoSpaceDE/>
        <w:autoSpaceDN/>
        <w:bidi w:val="0"/>
        <w:adjustRightInd/>
        <w:snapToGrid/>
        <w:spacing w:line="560" w:lineRule="exact"/>
        <w:ind w:firstLine="643" w:firstLineChars="200"/>
        <w:jc w:val="left"/>
        <w:textAlignment w:val="auto"/>
        <w:outlineLvl w:val="1"/>
        <w:rPr>
          <w:rStyle w:val="27"/>
          <w:rFonts w:hint="eastAsia" w:asciiTheme="majorEastAsia" w:hAnsiTheme="majorEastAsia" w:eastAsiaTheme="majorEastAsia" w:cstheme="majorEastAsia"/>
          <w:color w:val="auto"/>
          <w:sz w:val="32"/>
          <w:szCs w:val="32"/>
          <w:lang w:val="en-US" w:eastAsia="zh-CN"/>
        </w:rPr>
      </w:pPr>
      <w:bookmarkStart w:id="27" w:name="_Toc1879367435"/>
      <w:bookmarkStart w:id="28" w:name="_Toc20488"/>
      <w:bookmarkStart w:id="29" w:name="_Toc16550"/>
      <w:bookmarkStart w:id="30" w:name="_Toc24389"/>
      <w:bookmarkStart w:id="31" w:name="_Toc2855"/>
      <w:bookmarkStart w:id="32" w:name="_Toc31609"/>
      <w:bookmarkStart w:id="33" w:name="_Toc2467"/>
      <w:r>
        <w:rPr>
          <w:rStyle w:val="27"/>
          <w:rFonts w:hint="eastAsia" w:ascii="楷体" w:hAnsi="楷体" w:eastAsia="楷体" w:cs="楷体"/>
          <w:color w:val="auto"/>
          <w:sz w:val="32"/>
          <w:szCs w:val="32"/>
          <w:lang w:val="en-US" w:eastAsia="zh-CN"/>
        </w:rPr>
        <w:t>一、发展回顾</w:t>
      </w:r>
      <w:bookmarkEnd w:id="27"/>
      <w:bookmarkEnd w:id="28"/>
      <w:bookmarkEnd w:id="29"/>
    </w:p>
    <w:bookmarkEnd w:id="30"/>
    <w:bookmarkEnd w:id="31"/>
    <w:bookmarkEnd w:id="32"/>
    <w:bookmarkEnd w:id="33"/>
    <w:p>
      <w:pPr>
        <w:pageBreakBefore w:val="0"/>
        <w:tabs>
          <w:tab w:val="left" w:pos="1445"/>
        </w:tabs>
        <w:kinsoku/>
        <w:wordWrap/>
        <w:overflowPunct/>
        <w:topLinePunct w:val="0"/>
        <w:autoSpaceDE/>
        <w:autoSpaceDN/>
        <w:bidi w:val="0"/>
        <w:adjustRightInd/>
        <w:snapToGrid/>
        <w:spacing w:line="560" w:lineRule="exact"/>
        <w:ind w:firstLine="643" w:firstLineChars="200"/>
        <w:jc w:val="left"/>
        <w:textAlignment w:val="auto"/>
        <w:outlineLvl w:val="2"/>
        <w:rPr>
          <w:rStyle w:val="25"/>
          <w:rFonts w:hint="eastAsia" w:ascii="仿宋" w:hAnsi="仿宋" w:eastAsia="仿宋" w:cs="仿宋"/>
          <w:b/>
          <w:bCs/>
          <w:color w:val="auto"/>
          <w:lang w:val="en-US" w:eastAsia="zh-CN"/>
        </w:rPr>
      </w:pPr>
      <w:bookmarkStart w:id="34" w:name="_Toc10268"/>
      <w:bookmarkStart w:id="35" w:name="_Toc16041"/>
      <w:bookmarkStart w:id="36" w:name="_Toc723326678"/>
      <w:r>
        <w:rPr>
          <w:rFonts w:hint="eastAsia" w:ascii="仿宋" w:hAnsi="仿宋" w:eastAsia="仿宋" w:cs="仿宋"/>
          <w:b/>
          <w:bCs/>
          <w:color w:val="auto"/>
          <w:sz w:val="32"/>
          <w:szCs w:val="32"/>
          <w:lang w:val="en-US" w:eastAsia="zh-CN"/>
        </w:rPr>
        <w:t>(一)</w:t>
      </w:r>
      <w:r>
        <w:rPr>
          <w:rStyle w:val="25"/>
          <w:rFonts w:hint="eastAsia" w:ascii="仿宋" w:hAnsi="仿宋" w:eastAsia="仿宋" w:cs="仿宋"/>
          <w:b/>
          <w:bCs/>
          <w:color w:val="auto"/>
          <w:lang w:val="en-US" w:eastAsia="zh-CN"/>
        </w:rPr>
        <w:t>主要成效</w:t>
      </w:r>
      <w:bookmarkEnd w:id="34"/>
      <w:bookmarkEnd w:id="35"/>
      <w:bookmarkEnd w:id="36"/>
    </w:p>
    <w:p>
      <w:pPr>
        <w:pageBreakBefore w:val="0"/>
        <w:tabs>
          <w:tab w:val="left" w:pos="2112"/>
        </w:tabs>
        <w:kinsoku/>
        <w:wordWrap/>
        <w:overflowPunct/>
        <w:topLinePunct w:val="0"/>
        <w:autoSpaceDE/>
        <w:autoSpaceDN/>
        <w:bidi w:val="0"/>
        <w:adjustRightInd/>
        <w:snapToGrid/>
        <w:spacing w:line="560" w:lineRule="exact"/>
        <w:ind w:firstLine="600" w:firstLineChars="200"/>
        <w:jc w:val="left"/>
        <w:textAlignment w:val="auto"/>
        <w:rPr>
          <w:rFonts w:hint="eastAsia" w:ascii="仿宋_GB2312" w:hAnsi="仿宋_GB2312" w:eastAsia="仿宋_GB2312" w:cs="仿宋_GB2312"/>
          <w:b w:val="0"/>
          <w:bCs/>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1、工业经济</w:t>
      </w:r>
      <w:r>
        <w:rPr>
          <w:rFonts w:hint="eastAsia" w:ascii="仿宋_GB2312" w:hAnsi="仿宋_GB2312" w:eastAsia="仿宋_GB2312" w:cs="仿宋_GB2312"/>
          <w:b w:val="0"/>
          <w:bCs/>
          <w:color w:val="auto"/>
          <w:sz w:val="30"/>
          <w:szCs w:val="30"/>
        </w:rPr>
        <w:t>总量</w:t>
      </w:r>
      <w:r>
        <w:rPr>
          <w:rFonts w:hint="eastAsia" w:ascii="仿宋_GB2312" w:hAnsi="仿宋_GB2312" w:eastAsia="仿宋_GB2312" w:cs="仿宋_GB2312"/>
          <w:color w:val="auto"/>
          <w:sz w:val="30"/>
          <w:szCs w:val="30"/>
        </w:rPr>
        <w:t>总体平稳发展</w:t>
      </w:r>
    </w:p>
    <w:p>
      <w:pPr>
        <w:pageBreakBefore w:val="0"/>
        <w:tabs>
          <w:tab w:val="left" w:pos="2112"/>
        </w:tabs>
        <w:kinsoku/>
        <w:wordWrap/>
        <w:overflowPunct/>
        <w:topLinePunct w:val="0"/>
        <w:autoSpaceDE/>
        <w:autoSpaceDN/>
        <w:bidi w:val="0"/>
        <w:adjustRightInd/>
        <w:snapToGrid/>
        <w:spacing w:line="560" w:lineRule="exact"/>
        <w:ind w:firstLine="600" w:firstLineChars="200"/>
        <w:jc w:val="left"/>
        <w:textAlignment w:val="auto"/>
        <w:rPr>
          <w:rFonts w:hint="eastAsia" w:ascii="楷体_GB2312" w:hAnsi="楷体_GB2312" w:eastAsia="楷体_GB2312" w:cs="楷体_GB2312"/>
          <w:b/>
          <w:bCs/>
          <w:color w:val="FF0000"/>
          <w:kern w:val="0"/>
          <w:sz w:val="32"/>
          <w:szCs w:val="32"/>
          <w:highlight w:val="none"/>
          <w:u w:val="none"/>
          <w:lang w:val="en-US" w:eastAsia="zh-CN"/>
        </w:rPr>
      </w:pPr>
      <w:r>
        <w:rPr>
          <w:rFonts w:hint="eastAsia" w:ascii="仿宋_GB2312" w:hAnsi="仿宋_GB2312" w:eastAsia="仿宋_GB2312" w:cs="仿宋_GB2312"/>
          <w:color w:val="auto"/>
          <w:kern w:val="2"/>
          <w:sz w:val="30"/>
          <w:szCs w:val="30"/>
          <w:lang w:val="en-US" w:eastAsia="zh-CN" w:bidi="ar-SA"/>
        </w:rPr>
        <w:t>“十三五”时期，</w:t>
      </w:r>
      <w:r>
        <w:rPr>
          <w:rFonts w:hint="eastAsia" w:ascii="仿宋_GB2312" w:eastAsia="仿宋_GB2312" w:cs="宋体"/>
          <w:color w:val="000000"/>
          <w:kern w:val="0"/>
          <w:sz w:val="30"/>
          <w:szCs w:val="30"/>
          <w:highlight w:val="none"/>
          <w:u w:val="none"/>
          <w:lang w:val="en-US" w:eastAsia="zh-CN"/>
        </w:rPr>
        <w:t>应对重大挑战、经受重大考验、破解重大难题，</w:t>
      </w:r>
      <w:r>
        <w:rPr>
          <w:rFonts w:hint="eastAsia" w:ascii="仿宋_GB2312" w:hAnsi="仿宋_GB2312" w:eastAsia="仿宋_GB2312" w:cs="仿宋_GB2312"/>
          <w:color w:val="auto"/>
          <w:kern w:val="2"/>
          <w:sz w:val="30"/>
          <w:szCs w:val="30"/>
          <w:lang w:val="en-US" w:eastAsia="zh-CN" w:bidi="ar-SA"/>
        </w:rPr>
        <w:t>面对突发的新冠肺炎疫情，平罗县委、县政府在上级党委、政府的坚强领导下，</w:t>
      </w:r>
      <w:r>
        <w:rPr>
          <w:rFonts w:hint="eastAsia" w:ascii="仿宋_GB2312" w:hAnsi="仿宋_GB2312" w:eastAsia="仿宋_GB2312" w:cs="仿宋_GB2312"/>
          <w:b w:val="0"/>
          <w:bCs w:val="0"/>
          <w:color w:val="auto"/>
          <w:sz w:val="30"/>
          <w:szCs w:val="30"/>
          <w:lang w:eastAsia="zh-CN"/>
        </w:rPr>
        <w:t>坚持稳中求进工作总基调</w:t>
      </w:r>
      <w:r>
        <w:rPr>
          <w:rFonts w:hint="eastAsia" w:ascii="仿宋_GB2312" w:hAnsi="仿宋_GB2312" w:eastAsia="仿宋_GB2312" w:cs="仿宋_GB2312"/>
          <w:b w:val="0"/>
          <w:bCs w:val="0"/>
          <w:color w:val="auto"/>
          <w:kern w:val="2"/>
          <w:sz w:val="30"/>
          <w:szCs w:val="30"/>
          <w:lang w:val="en-US" w:eastAsia="zh-CN" w:bidi="ar-SA"/>
        </w:rPr>
        <w:t>，</w:t>
      </w:r>
      <w:r>
        <w:rPr>
          <w:rFonts w:hint="eastAsia" w:ascii="仿宋_GB2312" w:hAnsi="仿宋_GB2312" w:eastAsia="仿宋_GB2312" w:cs="仿宋_GB2312"/>
          <w:b w:val="0"/>
          <w:bCs w:val="0"/>
          <w:color w:val="auto"/>
          <w:sz w:val="30"/>
          <w:szCs w:val="30"/>
          <w:lang w:eastAsia="zh-CN"/>
        </w:rPr>
        <w:t>大力实施“工业强县”战略。</w:t>
      </w:r>
      <w:r>
        <w:rPr>
          <w:rFonts w:hint="eastAsia" w:ascii="仿宋_GB2312" w:hAnsi="仿宋_GB2312" w:eastAsia="仿宋_GB2312" w:cs="仿宋_GB2312"/>
          <w:color w:val="auto"/>
          <w:kern w:val="2"/>
          <w:sz w:val="30"/>
          <w:szCs w:val="30"/>
          <w:lang w:val="en-US" w:eastAsia="zh-CN" w:bidi="ar-SA"/>
        </w:rPr>
        <w:t>紧紧抓住全面建成小康社会第一个百年奋斗目标，开拓进取，奋勇拼搏，圆满实现了“十三五”规划确定的目标任务。立足县域经济，以供给侧结构性改革为主线，</w:t>
      </w:r>
      <w:r>
        <w:rPr>
          <w:rFonts w:hint="eastAsia" w:ascii="仿宋_GB2312" w:hAnsi="仿宋_GB2312" w:eastAsia="仿宋_GB2312" w:cs="仿宋_GB2312"/>
          <w:color w:val="auto"/>
          <w:sz w:val="30"/>
          <w:szCs w:val="30"/>
        </w:rPr>
        <w:t>加快推进转型升级和结构调整，积极壮大优势产业集群，培育发展新兴产业，全</w:t>
      </w:r>
      <w:r>
        <w:rPr>
          <w:rFonts w:hint="eastAsia" w:ascii="仿宋_GB2312" w:hAnsi="仿宋_GB2312" w:eastAsia="仿宋_GB2312" w:cs="仿宋_GB2312"/>
          <w:color w:val="auto"/>
          <w:sz w:val="30"/>
          <w:szCs w:val="30"/>
          <w:lang w:eastAsia="zh-CN"/>
        </w:rPr>
        <w:t>县</w:t>
      </w:r>
      <w:r>
        <w:rPr>
          <w:rFonts w:hint="eastAsia" w:ascii="仿宋_GB2312" w:hAnsi="仿宋_GB2312" w:eastAsia="仿宋_GB2312" w:cs="仿宋_GB2312"/>
          <w:color w:val="auto"/>
          <w:sz w:val="30"/>
          <w:szCs w:val="30"/>
        </w:rPr>
        <w:t>工业经济总体平稳发展。</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sz w:val="30"/>
          <w:szCs w:val="30"/>
          <w:lang w:val="en-US" w:eastAsia="zh-CN"/>
        </w:rPr>
        <w:t>“十三五”期间，面对复杂多变的内外部环境,我县工业运行总体平稳，呈现稳中有进运行态势。2016、2017、2018、2019、2020年规上工业企业累计完成产值380.13亿元、337.4亿元、410.5亿元、394.6亿元、398.8亿元，较“十二五”末增加78.6亿元；实现工业增加值同比增长10.3%、8.2%、18.4%、7.3%、1.6%，平均增速较“十二五”提高0.2个百分点。</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仿宋_GB2312" w:hAnsi="仿宋_GB2312" w:eastAsia="楷体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2</w:t>
      </w:r>
      <w:r>
        <w:rPr>
          <w:rFonts w:hint="eastAsia" w:ascii="仿宋_GB2312" w:hAnsi="仿宋_GB2312" w:eastAsia="仿宋_GB2312" w:cs="仿宋_GB2312"/>
          <w:b w:val="0"/>
          <w:bCs w:val="0"/>
          <w:color w:val="auto"/>
          <w:kern w:val="2"/>
          <w:sz w:val="30"/>
          <w:szCs w:val="30"/>
          <w:lang w:val="en-US" w:eastAsia="zh-CN" w:bidi="ar-SA"/>
        </w:rPr>
        <w:t>、</w:t>
      </w:r>
      <w:r>
        <w:rPr>
          <w:rFonts w:hint="eastAsia" w:ascii="仿宋_GB2312" w:hAnsi="仿宋_GB2312" w:eastAsia="仿宋_GB2312" w:cs="仿宋_GB2312"/>
          <w:b w:val="0"/>
          <w:bCs w:val="0"/>
          <w:color w:val="auto"/>
          <w:sz w:val="30"/>
          <w:szCs w:val="30"/>
          <w:lang w:val="en-US" w:eastAsia="zh-CN"/>
        </w:rPr>
        <w:t>项目建设</w:t>
      </w:r>
      <w:r>
        <w:rPr>
          <w:rFonts w:hint="eastAsia" w:ascii="楷体_GB2312" w:hAnsi="楷体_GB2312" w:eastAsia="楷体_GB2312" w:cs="楷体_GB2312"/>
          <w:b w:val="0"/>
          <w:bCs w:val="0"/>
          <w:color w:val="000000"/>
          <w:kern w:val="0"/>
          <w:sz w:val="32"/>
          <w:szCs w:val="32"/>
          <w:highlight w:val="none"/>
          <w:u w:val="none"/>
          <w:lang w:val="en-US" w:eastAsia="zh-CN"/>
        </w:rPr>
        <w:t>转型升级、创新驱动，综合实力显著增强。</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仿宋_GB2312" w:hAnsi="仿宋_GB2312" w:eastAsia="仿宋_GB2312" w:cs="仿宋_GB2312"/>
          <w:b w:val="0"/>
          <w:bCs w:val="0"/>
          <w:color w:val="000000" w:themeColor="text1"/>
          <w:sz w:val="30"/>
          <w:szCs w:val="30"/>
          <w:lang w:val="en-US" w:eastAsia="zh-CN"/>
          <w14:textFill>
            <w14:solidFill>
              <w14:schemeClr w14:val="tx1"/>
            </w14:solidFill>
          </w14:textFill>
        </w:rPr>
      </w:pPr>
      <w:r>
        <w:rPr>
          <w:rFonts w:hint="eastAsia" w:ascii="仿宋_GB2312" w:hAnsi="仿宋_GB2312" w:eastAsia="仿宋_GB2312" w:cs="仿宋_GB2312"/>
          <w:b w:val="0"/>
          <w:bCs w:val="0"/>
          <w:color w:val="auto"/>
          <w:sz w:val="30"/>
          <w:szCs w:val="30"/>
          <w:lang w:val="en-US" w:eastAsia="zh-CN"/>
        </w:rPr>
        <w:t>始终坚持项目带动战略，把项目作为产业转型升级的主要支撑。“十三五”期间，</w:t>
      </w:r>
      <w:r>
        <w:rPr>
          <w:rFonts w:hint="eastAsia" w:ascii="仿宋_GB2312" w:eastAsia="仿宋_GB2312" w:cs="宋体"/>
          <w:color w:val="000000" w:themeColor="text1"/>
          <w:kern w:val="0"/>
          <w:sz w:val="32"/>
          <w:szCs w:val="32"/>
          <w:highlight w:val="none"/>
          <w:u w:val="none"/>
          <w:lang w:val="en-US" w:eastAsia="zh-CN"/>
          <w14:textFill>
            <w14:solidFill>
              <w14:schemeClr w14:val="tx1"/>
            </w14:solidFill>
          </w14:textFill>
        </w:rPr>
        <w:t>传统工业加快转型升级，首朗吉元燃料乙醇、福瑞硅烷偶联剂等一批转型项目、高端项目投产达效。</w:t>
      </w:r>
      <w:r>
        <w:rPr>
          <w:rFonts w:hint="eastAsia" w:ascii="仿宋_GB2312" w:eastAsia="仿宋_GB2312" w:cs="宋体"/>
          <w:color w:val="000000" w:themeColor="text1"/>
          <w:kern w:val="0"/>
          <w:sz w:val="30"/>
          <w:szCs w:val="30"/>
          <w:highlight w:val="none"/>
          <w:u w:val="none"/>
          <w:lang w:val="en-US" w:eastAsia="zh-CN"/>
          <w14:textFill>
            <w14:solidFill>
              <w14:schemeClr w14:val="tx1"/>
            </w14:solidFill>
          </w14:textFill>
        </w:rPr>
        <w:t>培育规上企业167家、科技型企业125家，工业总产值达到399亿元</w:t>
      </w:r>
      <w:r>
        <w:rPr>
          <w:rFonts w:hint="eastAsia" w:ascii="仿宋_GB2312" w:hAnsi="仿宋_GB2312" w:eastAsia="仿宋_GB2312" w:cs="仿宋_GB2312"/>
          <w:color w:val="000000" w:themeColor="text1"/>
          <w:kern w:val="0"/>
          <w:sz w:val="30"/>
          <w:szCs w:val="30"/>
          <w:highlight w:val="none"/>
          <w:u w:val="none"/>
          <w:lang w:val="en-US" w:eastAsia="zh-CN" w:bidi="ar"/>
          <w14:textFill>
            <w14:solidFill>
              <w14:schemeClr w14:val="tx1"/>
            </w14:solidFill>
          </w14:textFill>
        </w:rPr>
        <w:t>，</w:t>
      </w:r>
      <w:r>
        <w:rPr>
          <w:rFonts w:hint="eastAsia" w:ascii="仿宋_GB2312" w:eastAsia="仿宋_GB2312" w:cs="宋体"/>
          <w:color w:val="000000" w:themeColor="text1"/>
          <w:kern w:val="0"/>
          <w:sz w:val="30"/>
          <w:szCs w:val="30"/>
          <w:highlight w:val="none"/>
          <w:u w:val="none"/>
          <w:lang w:val="en-US" w:eastAsia="zh-CN"/>
          <w14:textFill>
            <w14:solidFill>
              <w14:schemeClr w14:val="tx1"/>
            </w14:solidFill>
          </w14:textFill>
        </w:rPr>
        <w:t>平罗工业园区</w:t>
      </w:r>
      <w:r>
        <w:rPr>
          <w:rFonts w:hint="eastAsia" w:ascii="仿宋_GB2312" w:hAnsi="仿宋_GB2312" w:eastAsia="仿宋_GB2312" w:cs="仿宋_GB2312"/>
          <w:color w:val="000000" w:themeColor="text1"/>
          <w:kern w:val="0"/>
          <w:sz w:val="30"/>
          <w:szCs w:val="30"/>
          <w:highlight w:val="none"/>
          <w:u w:val="none"/>
          <w:lang w:val="en-US" w:eastAsia="zh-CN" w:bidi="ar"/>
          <w14:textFill>
            <w14:solidFill>
              <w14:schemeClr w14:val="tx1"/>
            </w14:solidFill>
          </w14:textFill>
        </w:rPr>
        <w:t>获评国家级产业转型升级示范园区。</w:t>
      </w:r>
      <w:r>
        <w:rPr>
          <w:rFonts w:hint="eastAsia" w:ascii="仿宋_GB2312" w:eastAsia="仿宋_GB2312" w:cs="宋体"/>
          <w:color w:val="000000" w:themeColor="text1"/>
          <w:kern w:val="0"/>
          <w:sz w:val="30"/>
          <w:szCs w:val="30"/>
          <w:highlight w:val="none"/>
          <w:u w:val="none"/>
          <w:lang w:val="en-US" w:eastAsia="zh-CN"/>
          <w14:textFill>
            <w14:solidFill>
              <w14:schemeClr w14:val="tx1"/>
            </w14:solidFill>
          </w14:textFill>
        </w:rPr>
        <w:t>通过五年的转方式、调结构、换动能，经济发展开创了总量扩大、质量提升的全新局面。</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仿宋_GB2312" w:hAnsi="仿宋_GB2312" w:eastAsia="仿宋_GB2312" w:cs="仿宋_GB2312"/>
          <w:b w:val="0"/>
          <w:bCs/>
          <w:color w:val="auto"/>
          <w:kern w:val="2"/>
          <w:sz w:val="30"/>
          <w:szCs w:val="30"/>
          <w:lang w:val="en-US" w:eastAsia="zh-CN" w:bidi="ar-SA"/>
        </w:rPr>
      </w:pPr>
      <w:r>
        <w:rPr>
          <w:rFonts w:hint="eastAsia" w:ascii="仿宋_GB2312" w:hAnsi="仿宋_GB2312" w:eastAsia="仿宋_GB2312" w:cs="仿宋_GB2312"/>
          <w:b w:val="0"/>
          <w:bCs w:val="0"/>
          <w:color w:val="auto"/>
          <w:kern w:val="2"/>
          <w:sz w:val="30"/>
          <w:szCs w:val="30"/>
          <w:lang w:val="en-US" w:eastAsia="zh-CN" w:bidi="ar-SA"/>
        </w:rPr>
        <w:t>3、</w:t>
      </w:r>
      <w:r>
        <w:rPr>
          <w:rFonts w:hint="eastAsia" w:ascii="仿宋_GB2312" w:hAnsi="仿宋_GB2312" w:eastAsia="仿宋_GB2312" w:cs="仿宋_GB2312"/>
          <w:b w:val="0"/>
          <w:bCs w:val="0"/>
          <w:color w:val="auto"/>
          <w:sz w:val="30"/>
          <w:szCs w:val="30"/>
          <w:lang w:val="en-US" w:eastAsia="zh-CN"/>
        </w:rPr>
        <w:t>结构调整稳步推进</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val="0"/>
          <w:bCs w:val="0"/>
          <w:color w:val="auto"/>
          <w:sz w:val="30"/>
          <w:szCs w:val="30"/>
          <w:lang w:val="en-US" w:eastAsia="zh-CN"/>
        </w:rPr>
        <w:t>通过引导和鼓励企业战略重组、对标对表、自主研发、科技转换等方式，推进产业结构不断优化。力促首朗吉元燃料乙醇、福瑞硅烷偶联剂、丰华氯化亚砜等带动力强的新兴产业项目落地建设，为实现产业转型升级注入新活力，同时，通过大型企业兼并重组、技术改造等方式盘活存量，做大做强传统产业。“十三五”期间，共引进滨河新材料高性能正极材料等新兴产业项目70个；实施凯迪工业硫酸产业链延伸技改、晟晏实业富锰渣炉及煤气综合利用、贝利特氰胺下游产品深加工（二期）等技术改造项目210个，加快推进了传统产业改造提升与新兴产业发展壮大。按照“兼并重组一批、政府收储一批、高效盘活一批、破产拍卖一批”的思路，积极开展“僵尸企业”处置工作，最大限度腾出土地、能源、环境空间，集聚发展绿色、高端、新兴产业，加快产业转型升级，提高资源配置效率。截至2020年底，已完成处置“僵尸企业”129家，盘活闲置土地2122亩，收回土地2323亩，淘汰落后产能20万吨。</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4、</w:t>
      </w:r>
      <w:r>
        <w:rPr>
          <w:rFonts w:hint="eastAsia" w:ascii="仿宋_GB2312" w:hAnsi="仿宋_GB2312" w:eastAsia="仿宋_GB2312" w:cs="仿宋_GB2312"/>
          <w:b w:val="0"/>
          <w:bCs w:val="0"/>
          <w:color w:val="auto"/>
          <w:sz w:val="30"/>
          <w:szCs w:val="30"/>
          <w:lang w:val="en-US" w:eastAsia="zh-CN"/>
        </w:rPr>
        <w:t>绿色发展持续推进</w:t>
      </w:r>
    </w:p>
    <w:p>
      <w:pPr>
        <w:pStyle w:val="17"/>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560" w:lineRule="exact"/>
        <w:ind w:left="0" w:right="0" w:firstLine="600" w:firstLineChars="200"/>
        <w:jc w:val="both"/>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val="0"/>
          <w:bCs w:val="0"/>
          <w:color w:val="auto"/>
          <w:sz w:val="30"/>
          <w:szCs w:val="30"/>
          <w:lang w:val="en-US" w:eastAsia="zh-CN"/>
        </w:rPr>
        <w:t>积极践行低碳绿色发展理念，促进县域工业经济走可持续发展道路。</w:t>
      </w:r>
      <w:r>
        <w:rPr>
          <w:rFonts w:hint="eastAsia" w:ascii="仿宋_GB2312" w:hAnsi="仿宋_GB2312" w:eastAsia="仿宋_GB2312" w:cs="仿宋_GB2312"/>
          <w:b/>
          <w:bCs/>
          <w:color w:val="auto"/>
          <w:sz w:val="30"/>
          <w:szCs w:val="30"/>
          <w:lang w:val="en-US" w:eastAsia="zh-CN"/>
        </w:rPr>
        <w:t>一是</w:t>
      </w:r>
      <w:r>
        <w:rPr>
          <w:rFonts w:hint="eastAsia" w:ascii="仿宋_GB2312" w:hAnsi="仿宋_GB2312" w:eastAsia="仿宋_GB2312" w:cs="仿宋_GB2312"/>
          <w:b w:val="0"/>
          <w:bCs w:val="0"/>
          <w:color w:val="auto"/>
          <w:sz w:val="30"/>
          <w:szCs w:val="30"/>
          <w:lang w:val="en-US" w:eastAsia="zh-CN"/>
        </w:rPr>
        <w:t>将绿色改造作为传统产业改造的重要抓手，积极培育和创建绿色工厂、绿色园区、开发绿色产品、延长绿色供应链，发挥示范带动作用，促进行业绿色发展。截止2020年底，宁夏大地循环被评为国家级绿色工厂示范企业，格瑞化工、吉元君泰、贝利特生物、参进宁宇达、晟晏、吉元冶金6家企业被评为自治区级绿色工厂，全县规上工业低碳、绿色、循环发展的能力和水平进一步提升。</w:t>
      </w:r>
      <w:r>
        <w:rPr>
          <w:rFonts w:hint="eastAsia" w:ascii="仿宋_GB2312" w:hAnsi="仿宋_GB2312" w:eastAsia="仿宋_GB2312" w:cs="仿宋_GB2312"/>
          <w:b/>
          <w:bCs/>
          <w:color w:val="auto"/>
          <w:sz w:val="30"/>
          <w:szCs w:val="30"/>
          <w:lang w:val="en-US" w:eastAsia="zh-CN"/>
        </w:rPr>
        <w:t>二是</w:t>
      </w:r>
      <w:r>
        <w:rPr>
          <w:rFonts w:hint="eastAsia" w:ascii="仿宋_GB2312" w:hAnsi="仿宋_GB2312" w:eastAsia="仿宋_GB2312" w:cs="仿宋_GB2312"/>
          <w:b w:val="0"/>
          <w:bCs w:val="0"/>
          <w:color w:val="auto"/>
          <w:sz w:val="30"/>
          <w:szCs w:val="30"/>
          <w:lang w:val="en-US" w:eastAsia="zh-CN"/>
        </w:rPr>
        <w:t>以绿色发展为导向，通过强化工业固废台账管理，引导企业优化生产工艺、提高设备自动化程度和原料利用率等方式降低固废产生量，提高固废综合利用率。2019年，全县一般工业固废利用率为45.68%，2020年为62.11%。</w:t>
      </w:r>
      <w:r>
        <w:rPr>
          <w:rFonts w:hint="eastAsia" w:ascii="仿宋_GB2312" w:hAnsi="仿宋_GB2312" w:eastAsia="仿宋_GB2312" w:cs="仿宋_GB2312"/>
          <w:b/>
          <w:bCs/>
          <w:color w:val="auto"/>
          <w:sz w:val="30"/>
          <w:szCs w:val="30"/>
          <w:lang w:val="en-US" w:eastAsia="zh-CN"/>
        </w:rPr>
        <w:t>三是</w:t>
      </w:r>
      <w:r>
        <w:rPr>
          <w:rFonts w:hint="eastAsia" w:ascii="仿宋_GB2312" w:hAnsi="仿宋_GB2312" w:eastAsia="仿宋_GB2312" w:cs="仿宋_GB2312"/>
          <w:b w:val="0"/>
          <w:bCs w:val="0"/>
          <w:color w:val="auto"/>
          <w:sz w:val="30"/>
          <w:szCs w:val="30"/>
          <w:lang w:val="en-US" w:eastAsia="zh-CN"/>
        </w:rPr>
        <w:t>利用安全、质量、环保、节能等方面法律法规及产业政策的综合标准，依法依规推动落后产能退出。</w:t>
      </w:r>
      <w:r>
        <w:rPr>
          <w:rFonts w:hint="eastAsia" w:ascii="仿宋_GB2312" w:hAnsi="仿宋_GB2312" w:eastAsia="仿宋_GB2312" w:cs="仿宋_GB2312"/>
          <w:b w:val="0"/>
          <w:bCs w:val="0"/>
          <w:color w:val="auto"/>
          <w:sz w:val="30"/>
          <w:szCs w:val="30"/>
          <w:highlight w:val="none"/>
          <w:lang w:val="en-US" w:eastAsia="zh-CN"/>
        </w:rPr>
        <w:t>五年来共退出落后产能109.9万吨，</w:t>
      </w:r>
      <w:r>
        <w:rPr>
          <w:rFonts w:hint="eastAsia" w:ascii="仿宋_GB2312" w:hAnsi="仿宋_GB2312" w:eastAsia="仿宋_GB2312" w:cs="仿宋_GB2312"/>
          <w:b w:val="0"/>
          <w:bCs w:val="0"/>
          <w:color w:val="auto"/>
          <w:sz w:val="30"/>
          <w:szCs w:val="30"/>
          <w:lang w:val="en-US" w:eastAsia="zh-CN"/>
        </w:rPr>
        <w:t>获得奖励资金3360.65万元。</w:t>
      </w:r>
      <w:r>
        <w:rPr>
          <w:rFonts w:hint="eastAsia" w:ascii="仿宋_GB2312" w:hAnsi="仿宋_GB2312" w:eastAsia="仿宋_GB2312" w:cs="仿宋_GB2312"/>
          <w:b/>
          <w:bCs/>
          <w:color w:val="auto"/>
          <w:sz w:val="30"/>
          <w:szCs w:val="30"/>
          <w:lang w:val="en-US" w:eastAsia="zh-CN"/>
        </w:rPr>
        <w:t>四是</w:t>
      </w:r>
      <w:r>
        <w:rPr>
          <w:rFonts w:hint="eastAsia" w:ascii="仿宋_GB2312" w:hAnsi="仿宋_GB2312" w:eastAsia="仿宋_GB2312" w:cs="仿宋_GB2312"/>
          <w:b w:val="0"/>
          <w:bCs/>
          <w:color w:val="auto"/>
          <w:spacing w:val="0"/>
          <w:sz w:val="30"/>
          <w:szCs w:val="30"/>
          <w:lang w:val="en-US" w:eastAsia="zh-CN"/>
        </w:rPr>
        <w:t>认真践行“绿水青山就是金山银山”理念，</w:t>
      </w:r>
      <w:r>
        <w:rPr>
          <w:rFonts w:hint="eastAsia" w:ascii="仿宋_GB2312" w:hAnsi="仿宋_GB2312" w:eastAsia="仿宋_GB2312" w:cs="仿宋_GB2312"/>
          <w:b w:val="0"/>
          <w:bCs w:val="0"/>
          <w:color w:val="auto"/>
          <w:sz w:val="30"/>
          <w:szCs w:val="30"/>
          <w:lang w:val="en-US" w:eastAsia="zh-CN"/>
        </w:rPr>
        <w:t>按照“关停取缔一批、限期搬迁一批、停产整治一批”的原则，对全县</w:t>
      </w:r>
      <w:r>
        <w:rPr>
          <w:rFonts w:hint="eastAsia" w:ascii="仿宋_GB2312" w:hAnsi="仿宋_GB2312" w:eastAsia="仿宋_GB2312" w:cs="仿宋_GB2312"/>
          <w:b w:val="0"/>
          <w:bCs w:val="0"/>
          <w:color w:val="auto"/>
          <w:kern w:val="2"/>
          <w:sz w:val="30"/>
          <w:szCs w:val="30"/>
          <w:lang w:val="en-US" w:eastAsia="zh-CN" w:bidi="ar-SA"/>
        </w:rPr>
        <w:t>473家“散乱污”企业实施</w:t>
      </w:r>
      <w:r>
        <w:rPr>
          <w:rFonts w:hint="eastAsia" w:ascii="仿宋_GB2312" w:hAnsi="仿宋_GB2312" w:eastAsia="仿宋_GB2312" w:cs="仿宋_GB2312"/>
          <w:b w:val="0"/>
          <w:bCs w:val="0"/>
          <w:color w:val="auto"/>
          <w:sz w:val="30"/>
          <w:szCs w:val="30"/>
          <w:lang w:val="en-US" w:eastAsia="zh-CN"/>
        </w:rPr>
        <w:t>“一企一策”整治。截至2020年底，</w:t>
      </w:r>
      <w:r>
        <w:rPr>
          <w:rFonts w:hint="eastAsia" w:ascii="仿宋_GB2312" w:hAnsi="仿宋_GB2312" w:eastAsia="仿宋_GB2312" w:cs="仿宋_GB2312"/>
          <w:b w:val="0"/>
          <w:bCs w:val="0"/>
          <w:color w:val="000000"/>
          <w:kern w:val="0"/>
          <w:sz w:val="30"/>
          <w:szCs w:val="30"/>
          <w:highlight w:val="none"/>
          <w:u w:val="none"/>
          <w:lang w:val="en-US" w:eastAsia="zh-CN" w:bidi="ar"/>
        </w:rPr>
        <w:t>治理“散乱污”企业684家，崇岗园实现由</w:t>
      </w:r>
      <w:r>
        <w:rPr>
          <w:rFonts w:hint="eastAsia" w:ascii="仿宋_GB2312" w:eastAsia="仿宋_GB2312" w:cs="宋体"/>
          <w:b w:val="0"/>
          <w:bCs w:val="0"/>
          <w:color w:val="000000"/>
          <w:kern w:val="0"/>
          <w:sz w:val="30"/>
          <w:szCs w:val="30"/>
          <w:highlight w:val="none"/>
          <w:u w:val="none"/>
          <w:lang w:val="en-US" w:eastAsia="zh-CN"/>
        </w:rPr>
        <w:t>“黑”到</w:t>
      </w:r>
      <w:r>
        <w:rPr>
          <w:rFonts w:hint="eastAsia" w:ascii="仿宋_GB2312" w:hAnsi="仿宋_GB2312" w:eastAsia="仿宋_GB2312" w:cs="仿宋_GB2312"/>
          <w:b w:val="0"/>
          <w:bCs w:val="0"/>
          <w:color w:val="000000"/>
          <w:kern w:val="0"/>
          <w:sz w:val="30"/>
          <w:szCs w:val="30"/>
          <w:highlight w:val="none"/>
          <w:u w:val="none"/>
          <w:lang w:val="en-US" w:eastAsia="zh-CN" w:bidi="ar"/>
        </w:rPr>
        <w:t>“绿”的华丽蜕变。</w:t>
      </w:r>
      <w:r>
        <w:rPr>
          <w:rFonts w:hint="eastAsia" w:ascii="仿宋_GB2312" w:hAnsi="仿宋_GB2312" w:eastAsia="仿宋_GB2312" w:cs="仿宋_GB2312"/>
          <w:b w:val="0"/>
          <w:bCs w:val="0"/>
          <w:color w:val="auto"/>
          <w:sz w:val="30"/>
          <w:szCs w:val="30"/>
          <w:lang w:val="en-US" w:eastAsia="zh-CN"/>
        </w:rPr>
        <w:t>园区环境质量大幅提升，“散乱污”工业企业治理形成平罗经验在全区推广。</w:t>
      </w:r>
    </w:p>
    <w:p>
      <w:pPr>
        <w:pageBreakBefore w:val="0"/>
        <w:tabs>
          <w:tab w:val="left" w:pos="2112"/>
        </w:tabs>
        <w:kinsoku/>
        <w:wordWrap/>
        <w:overflowPunct/>
        <w:topLinePunct w:val="0"/>
        <w:autoSpaceDE/>
        <w:autoSpaceDN/>
        <w:bidi w:val="0"/>
        <w:adjustRightInd/>
        <w:snapToGrid/>
        <w:spacing w:line="560" w:lineRule="exact"/>
        <w:ind w:firstLine="600" w:firstLineChars="200"/>
        <w:jc w:val="left"/>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5、</w:t>
      </w:r>
      <w:r>
        <w:rPr>
          <w:rFonts w:hint="eastAsia" w:ascii="仿宋_GB2312" w:hAnsi="仿宋_GB2312" w:eastAsia="仿宋_GB2312" w:cs="仿宋_GB2312"/>
          <w:b w:val="0"/>
          <w:bCs w:val="0"/>
          <w:color w:val="auto"/>
          <w:sz w:val="30"/>
          <w:szCs w:val="30"/>
          <w:lang w:val="en-US" w:eastAsia="zh-CN"/>
        </w:rPr>
        <w:t>信息化水平明显提升</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val="0"/>
          <w:bCs w:val="0"/>
          <w:color w:val="auto"/>
          <w:sz w:val="30"/>
          <w:szCs w:val="30"/>
          <w:lang w:val="en-US" w:eastAsia="zh-CN"/>
        </w:rPr>
        <w:t>加快“两化”深度融合，在生物医药、冶金等行业推广智能工厂与数字化车间建设，推广自动上料系统，实施机器换人和自动化减人。“十三五”期间，共实施神州轮胎智能工厂建设、晟晏实业合金炉出炉机械臂等“两化融合”项目37个，计划总投资3.5亿元，现已全部完成建设。积极开展“两化融合”试点示范项目创建工作，目前中粮米业（宁夏）有限公司自动化包装码垛机器人获评自治区机器人推广应用示范项目，晟晏能源富锰渣生产线及综合利用互联网融合管理项目获评自治区互联网制造业试点示范项目，丰华生物氯化亚砜工业互联网、滨河碳化硅产业节能减排升级改造工业互联网和贝利特生物一体化的信息智能制造管控平台获评工业互联网平台应用项目，企业信息化发展意识进一步增强，信息化水平进一步提升。</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color w:val="auto"/>
          <w:sz w:val="30"/>
          <w:szCs w:val="30"/>
          <w:lang w:val="en-US" w:eastAsia="zh-CN"/>
        </w:rPr>
        <w:t>6、</w:t>
      </w:r>
      <w:r>
        <w:rPr>
          <w:rFonts w:hint="eastAsia" w:ascii="仿宋_GB2312" w:hAnsi="仿宋_GB2312" w:eastAsia="仿宋_GB2312" w:cs="仿宋_GB2312"/>
          <w:b w:val="0"/>
          <w:bCs w:val="0"/>
          <w:color w:val="auto"/>
          <w:sz w:val="30"/>
          <w:szCs w:val="30"/>
          <w:lang w:val="en-US" w:eastAsia="zh-CN"/>
        </w:rPr>
        <w:t>企业培育成效显现</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Autospacing="0" w:afterAutospacing="0" w:line="560" w:lineRule="exact"/>
        <w:ind w:left="0" w:leftChars="0" w:right="0" w:rightChars="0" w:firstLine="640"/>
        <w:jc w:val="both"/>
        <w:textAlignment w:val="auto"/>
        <w:outlineLvl w:val="9"/>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 xml:space="preserve">大力实施“成长、上市”培育工程，建立“龙头企业、优质企业、成长企业”培育库，分层次开展梯度培育。“十三五”期间累计新增入规企业112家，规改股企业2家、股上市企业1家，进入上市培育库3家，25家企业在宁夏股权交易托管中心挂牌；新增自治区企业技术中心3家、自治区行业领先示范企业4家、培育“专精特新”中小企业45家、“专精特新”标杆企业23家、示范企业7家、国家、自治区级“小巨人”企业3家；平罗县中小企业公共服务平台被评为自治区级中小企业公共服务示范平台，众力科技园服务平台被评为2020年度国家即创业创新示范平台；全县规模以上工业企业全部开展对标工作，对标率为100%，14家荣获全区工业企业行业对标奖。    </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val="0"/>
          <w:bCs w:val="0"/>
          <w:color w:val="auto"/>
          <w:sz w:val="30"/>
          <w:szCs w:val="30"/>
          <w:lang w:val="en-US" w:eastAsia="zh-CN"/>
        </w:rPr>
        <w:t>7、工业经济发展环境不断优化</w:t>
      </w:r>
    </w:p>
    <w:p>
      <w:pPr>
        <w:keepNext w:val="0"/>
        <w:keepLines w:val="0"/>
        <w:pageBreakBefore w:val="0"/>
        <w:widowControl w:val="0"/>
        <w:kinsoku/>
        <w:wordWrap/>
        <w:overflowPunct/>
        <w:topLinePunct w:val="0"/>
        <w:autoSpaceDE/>
        <w:autoSpaceDN/>
        <w:bidi w:val="0"/>
        <w:adjustRightInd/>
        <w:snapToGrid/>
        <w:spacing w:line="560" w:lineRule="exact"/>
        <w:ind w:firstLine="602" w:firstLineChars="20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b/>
          <w:bCs/>
          <w:color w:val="auto"/>
          <w:sz w:val="30"/>
          <w:szCs w:val="30"/>
          <w:lang w:val="en-US" w:eastAsia="zh-CN"/>
        </w:rPr>
        <w:t>一是</w:t>
      </w:r>
      <w:r>
        <w:rPr>
          <w:rFonts w:hint="eastAsia" w:ascii="仿宋_GB2312" w:hAnsi="仿宋_GB2312" w:eastAsia="仿宋_GB2312" w:cs="仿宋_GB2312"/>
          <w:color w:val="auto"/>
          <w:sz w:val="30"/>
          <w:szCs w:val="30"/>
          <w:lang w:val="en-US" w:eastAsia="zh-CN"/>
        </w:rPr>
        <w:t>陆续出台了《平罗县关于促进工业经济平稳增长的意见》《平罗县促进工业经济转型升级若干政策》《平罗县加快工业转型升级奖励办法》《平罗县加快产业集群创新发展若干政策》，多层次鼓励企业创新发展、高质量发展，五年来累计兑现县级奖补资金6919万元，不折不扣让企业享受到“政策红利”。</w:t>
      </w:r>
      <w:r>
        <w:rPr>
          <w:rFonts w:hint="eastAsia" w:ascii="仿宋_GB2312" w:hAnsi="仿宋_GB2312" w:eastAsia="仿宋_GB2312" w:cs="仿宋_GB2312"/>
          <w:b/>
          <w:bCs/>
          <w:color w:val="auto"/>
          <w:sz w:val="30"/>
          <w:szCs w:val="30"/>
          <w:lang w:val="en-US" w:eastAsia="zh-CN"/>
        </w:rPr>
        <w:t>二是</w:t>
      </w:r>
      <w:r>
        <w:rPr>
          <w:rFonts w:hint="eastAsia" w:ascii="仿宋_GB2312" w:hAnsi="仿宋_GB2312" w:eastAsia="仿宋_GB2312" w:cs="仿宋_GB2312"/>
          <w:color w:val="auto"/>
          <w:sz w:val="30"/>
          <w:szCs w:val="30"/>
          <w:lang w:val="en-US" w:eastAsia="zh-CN"/>
        </w:rPr>
        <w:t>认真做好项目、资金申报谋划，提前明晰政策范围，确保各类政策、资金知晓率、申报面、争取量最大化，做到应报尽报。“十三五”期间，组织企业申报自治区新型工业化发展专项资金、非公经济和中小企业专项资金、石嘴山市加快工业转型发展扶持资金等8个方面项目专项资金，获批各类扶持资金5.1亿元。</w:t>
      </w:r>
      <w:r>
        <w:rPr>
          <w:rFonts w:hint="eastAsia" w:ascii="仿宋_GB2312" w:hAnsi="仿宋_GB2312" w:eastAsia="仿宋_GB2312" w:cs="仿宋_GB2312"/>
          <w:b/>
          <w:bCs/>
          <w:color w:val="auto"/>
          <w:sz w:val="30"/>
          <w:szCs w:val="30"/>
          <w:lang w:val="en-US" w:eastAsia="zh-CN"/>
        </w:rPr>
        <w:t>三是</w:t>
      </w:r>
      <w:r>
        <w:rPr>
          <w:rFonts w:hint="eastAsia" w:ascii="仿宋_GB2312" w:hAnsi="仿宋_GB2312" w:eastAsia="仿宋_GB2312" w:cs="仿宋_GB2312"/>
          <w:color w:val="auto"/>
          <w:sz w:val="30"/>
          <w:szCs w:val="30"/>
          <w:lang w:val="en-US" w:eastAsia="zh-CN"/>
        </w:rPr>
        <w:t>充分发挥媒介作用，积极搭建银企沟通平台，多措并举解决企业融资难题。“十三五”以来，意向性落实企业与金融机构签订授信贷款28.52亿元；为10家企业争取自治区风险补偿金增信贷款15.52亿元；神州轮胎、晟晏集团获批纾困基金3.2亿元；大地循环、晟晏集团、阳光焦化等7家企业通过贷款风险补偿金增信，获得贷款11.42亿元。</w:t>
      </w:r>
      <w:r>
        <w:rPr>
          <w:rFonts w:hint="eastAsia" w:ascii="仿宋_GB2312" w:hAnsi="仿宋_GB2312" w:eastAsia="仿宋_GB2312" w:cs="仿宋_GB2312"/>
          <w:b/>
          <w:bCs/>
          <w:color w:val="auto"/>
          <w:sz w:val="30"/>
          <w:szCs w:val="30"/>
          <w:lang w:val="en-US" w:eastAsia="zh-CN"/>
        </w:rPr>
        <w:t>四是</w:t>
      </w:r>
      <w:r>
        <w:rPr>
          <w:rFonts w:hint="eastAsia" w:ascii="仿宋_GB2312" w:hAnsi="仿宋_GB2312" w:eastAsia="仿宋_GB2312" w:cs="仿宋_GB2312"/>
          <w:color w:val="auto"/>
          <w:sz w:val="30"/>
          <w:szCs w:val="30"/>
          <w:lang w:val="en-US" w:eastAsia="zh-CN"/>
        </w:rPr>
        <w:t>充分发挥清理拖欠民营企业账款牵头抓总协调作用，细化分解清欠账款，有序推进清欠工作，增强民营企业发展信心。</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 xml:space="preserve">在抓好上述业务工作的同时，还认真履行党建、党风廉政建设主体责任，落实“一岗双责”，持续加强机关作风建设，严格执行中央八项规定精神，坚决整治形式主义、官僚主义，并持续抓好意识形态工作，为更好地开展经济工作，提供坚强的政治和纪律保证。 </w:t>
      </w:r>
    </w:p>
    <w:p>
      <w:pPr>
        <w:pStyle w:val="5"/>
        <w:pageBreakBefore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val="0"/>
          <w:bCs w:val="0"/>
          <w:color w:val="auto"/>
          <w:sz w:val="32"/>
          <w:szCs w:val="32"/>
          <w:lang w:val="en-US" w:eastAsia="zh-CN"/>
        </w:rPr>
      </w:pPr>
      <w:bookmarkStart w:id="37" w:name="_Toc6090"/>
      <w:bookmarkStart w:id="38" w:name="_Toc771324647"/>
      <w:bookmarkStart w:id="39" w:name="_Toc2888"/>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lang w:eastAsia="zh-CN"/>
        </w:rPr>
        <w:t>制约发展的困难与问题</w:t>
      </w:r>
      <w:bookmarkEnd w:id="37"/>
      <w:bookmarkEnd w:id="38"/>
      <w:bookmarkEnd w:id="39"/>
    </w:p>
    <w:p>
      <w:pPr>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0"/>
          <w:szCs w:val="30"/>
          <w:lang w:val="en-US" w:eastAsia="zh-CN"/>
        </w:rPr>
      </w:pPr>
      <w:r>
        <w:rPr>
          <w:rFonts w:hint="eastAsia"/>
          <w:b w:val="0"/>
          <w:bCs w:val="0"/>
          <w:color w:val="auto"/>
          <w:sz w:val="32"/>
          <w:szCs w:val="32"/>
          <w:lang w:val="en-US" w:eastAsia="zh-CN"/>
        </w:rPr>
        <w:t xml:space="preserve">  </w:t>
      </w:r>
      <w:r>
        <w:rPr>
          <w:rFonts w:hint="eastAsia" w:ascii="Arial" w:hAnsi="Arial"/>
          <w:b w:val="0"/>
          <w:bCs w:val="0"/>
          <w:color w:val="auto"/>
          <w:sz w:val="32"/>
          <w:szCs w:val="32"/>
          <w:lang w:val="en-US" w:eastAsia="zh-CN"/>
        </w:rPr>
        <w:t xml:space="preserve"> </w:t>
      </w:r>
      <w:r>
        <w:rPr>
          <w:rFonts w:hint="eastAsia" w:ascii="仿宋_GB2312" w:hAnsi="仿宋_GB2312" w:eastAsia="仿宋_GB2312" w:cs="仿宋_GB2312"/>
          <w:b w:val="0"/>
          <w:bCs w:val="0"/>
          <w:color w:val="auto"/>
          <w:sz w:val="32"/>
          <w:szCs w:val="32"/>
          <w:lang w:val="en-US" w:eastAsia="zh-CN"/>
        </w:rPr>
        <w:t xml:space="preserve"> </w:t>
      </w:r>
      <w:bookmarkStart w:id="40" w:name="_Toc14261"/>
      <w:r>
        <w:rPr>
          <w:rFonts w:hint="eastAsia" w:ascii="仿宋_GB2312" w:hAnsi="仿宋_GB2312" w:eastAsia="仿宋_GB2312" w:cs="仿宋_GB2312"/>
          <w:b w:val="0"/>
          <w:bCs w:val="0"/>
          <w:color w:val="auto"/>
          <w:sz w:val="30"/>
          <w:szCs w:val="30"/>
          <w:lang w:val="en-US" w:eastAsia="zh-CN"/>
        </w:rPr>
        <w:t>虽然“十三五”期间，我县工业经济得到持续发展，但也存在一些困难和问题。</w:t>
      </w:r>
      <w:bookmarkEnd w:id="40"/>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1、</w:t>
      </w:r>
      <w:r>
        <w:rPr>
          <w:rFonts w:hint="eastAsia" w:ascii="仿宋_GB2312" w:hAnsi="仿宋_GB2312" w:eastAsia="仿宋_GB2312" w:cs="仿宋_GB2312"/>
          <w:b w:val="0"/>
          <w:bCs w:val="0"/>
          <w:color w:val="auto"/>
          <w:sz w:val="30"/>
          <w:szCs w:val="30"/>
          <w:lang w:val="en-US" w:eastAsia="zh-CN"/>
        </w:rPr>
        <w:t>产业结构性矛盾依然突出</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十三五”期间，我县轻重工业比为3.3：96.7，轻、重工业生产比例失调，重工业生产发展速度超过轻工业，以原材料和初级加工为主的传统产业仍占全县工业的80%以上，对资源和能源的依赖度较高，企业产品结构单一且科技含量低，基本上处于产业链低端，缺乏核心竞争力。同时，电石化工、多元合金、碳基材料等传统优势产业“两头在外”，比较优势逐步减弱，</w:t>
      </w:r>
      <w:r>
        <w:rPr>
          <w:rFonts w:hint="eastAsia" w:ascii="仿宋_GB2312" w:hAnsi="仿宋_GB2312" w:eastAsia="仿宋_GB2312" w:cs="仿宋_GB2312"/>
          <w:b w:val="0"/>
          <w:bCs w:val="0"/>
          <w:color w:val="auto"/>
          <w:sz w:val="30"/>
          <w:szCs w:val="30"/>
          <w:lang w:val="en-US" w:eastAsia="zh-CN"/>
        </w:rPr>
        <w:t>产业结构性矛盾依然突出</w:t>
      </w:r>
      <w:r>
        <w:rPr>
          <w:rFonts w:hint="eastAsia" w:ascii="仿宋_GB2312" w:hAnsi="仿宋_GB2312" w:eastAsia="仿宋_GB2312" w:cs="仿宋_GB2312"/>
          <w:color w:val="auto"/>
          <w:sz w:val="30"/>
          <w:szCs w:val="30"/>
          <w:lang w:val="en-US" w:eastAsia="zh-CN"/>
        </w:rPr>
        <w:t>。</w:t>
      </w:r>
    </w:p>
    <w:p>
      <w:pPr>
        <w:pageBreakBefore w:val="0"/>
        <w:tabs>
          <w:tab w:val="left" w:pos="1778"/>
        </w:tabs>
        <w:kinsoku/>
        <w:wordWrap/>
        <w:overflowPunct/>
        <w:topLinePunct w:val="0"/>
        <w:autoSpaceDE/>
        <w:autoSpaceDN/>
        <w:bidi w:val="0"/>
        <w:adjustRightInd/>
        <w:snapToGrid/>
        <w:spacing w:line="560" w:lineRule="exact"/>
        <w:ind w:firstLine="600" w:firstLineChars="200"/>
        <w:jc w:val="left"/>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2、产业发展层次不高</w:t>
      </w:r>
    </w:p>
    <w:p>
      <w:pPr>
        <w:pageBreakBefore w:val="0"/>
        <w:tabs>
          <w:tab w:val="left" w:pos="1778"/>
        </w:tabs>
        <w:kinsoku/>
        <w:wordWrap/>
        <w:overflowPunct/>
        <w:topLinePunct w:val="0"/>
        <w:autoSpaceDE/>
        <w:autoSpaceDN/>
        <w:bidi w:val="0"/>
        <w:adjustRightInd/>
        <w:snapToGrid/>
        <w:spacing w:line="560" w:lineRule="exact"/>
        <w:ind w:firstLine="600" w:firstLineChars="200"/>
        <w:jc w:val="left"/>
        <w:textAlignment w:val="auto"/>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color w:val="auto"/>
          <w:sz w:val="30"/>
          <w:szCs w:val="30"/>
          <w:lang w:val="en-US" w:eastAsia="zh-CN"/>
        </w:rPr>
        <w:t>目前，平罗县传统产业占工业总产值仍然过高，以粗放型、低层次产品加工为主的资源型经济仍占主体地位；特色优势产业尚处于起步阶段、产业规模化程度不高、产业链短；新产业新业态发展迟滞、还未形成有效的推动力量、产业集群规模仍然偏小，企业产品结构单一且科技含量较低、基本上处于产业链低端、缺乏核心竟争力。</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val="0"/>
          <w:bCs w:val="0"/>
          <w:color w:val="auto"/>
          <w:sz w:val="30"/>
          <w:szCs w:val="30"/>
          <w:lang w:val="en-US" w:eastAsia="zh-CN"/>
        </w:rPr>
        <w:t>3、节能降耗任务艰巨</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十三五”期间，平罗县工业企业节能降耗工作进展顺利，能耗保持低速增长，但以煤炭消费为主的能源结构并没有发生根本性的变化，能源消费行业集中度较高，规模以上工业企业能耗占全社会能耗的94%。以精细化工、特色冶金、碳基材料等高载能产业为主的工业结构，能耗高、污染重，工业经济倚重倚能的特点短期内仍然突出，节能降耗任务艰巨。</w:t>
      </w:r>
    </w:p>
    <w:p>
      <w:pPr>
        <w:pageBreakBefore w:val="0"/>
        <w:tabs>
          <w:tab w:val="left" w:pos="1778"/>
        </w:tabs>
        <w:kinsoku/>
        <w:wordWrap/>
        <w:overflowPunct/>
        <w:topLinePunct w:val="0"/>
        <w:autoSpaceDE/>
        <w:autoSpaceDN/>
        <w:bidi w:val="0"/>
        <w:adjustRightInd/>
        <w:snapToGrid/>
        <w:spacing w:line="560" w:lineRule="exact"/>
        <w:ind w:firstLine="600" w:firstLineChars="200"/>
        <w:jc w:val="left"/>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4、企业创新能力不强</w:t>
      </w:r>
    </w:p>
    <w:p>
      <w:pPr>
        <w:pageBreakBefore w:val="0"/>
        <w:tabs>
          <w:tab w:val="left" w:pos="1778"/>
        </w:tabs>
        <w:kinsoku/>
        <w:wordWrap/>
        <w:overflowPunct/>
        <w:topLinePunct w:val="0"/>
        <w:autoSpaceDE/>
        <w:autoSpaceDN/>
        <w:bidi w:val="0"/>
        <w:adjustRightInd/>
        <w:snapToGrid/>
        <w:spacing w:line="560" w:lineRule="exact"/>
        <w:ind w:firstLine="600" w:firstLineChars="200"/>
        <w:jc w:val="left"/>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平罗县工业企业的发展基本上是依托资源优势发展起来的，生产方式粗放、产业链条短、技术含量低，缺乏自主知识产权和关键核心技术，产品附加值低、竟争力弱。受区位、环境影响，高学历人才和专业技术人才缺乏，企业研发成本高，新技术、新产品的研发投入不足。企业技术研发以个体为主、尚未形成专业、集中的科技研发平合，科技研发和技术创新投入低于全国、自治区的平均水平，高新技术产业增加值仅占全县工业增加值的0.9%、低于全区2.5个百分点。</w:t>
      </w:r>
    </w:p>
    <w:p>
      <w:pPr>
        <w:pageBreakBefore w:val="0"/>
        <w:tabs>
          <w:tab w:val="left" w:pos="1778"/>
        </w:tabs>
        <w:kinsoku/>
        <w:wordWrap/>
        <w:overflowPunct/>
        <w:topLinePunct w:val="0"/>
        <w:autoSpaceDE/>
        <w:autoSpaceDN/>
        <w:bidi w:val="0"/>
        <w:adjustRightInd/>
        <w:snapToGrid/>
        <w:spacing w:line="560" w:lineRule="exact"/>
        <w:ind w:firstLine="600" w:firstLineChars="200"/>
        <w:jc w:val="left"/>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5、集约发展水平偏低</w:t>
      </w:r>
    </w:p>
    <w:p>
      <w:pPr>
        <w:pageBreakBefore w:val="0"/>
        <w:tabs>
          <w:tab w:val="left" w:pos="1778"/>
        </w:tabs>
        <w:kinsoku/>
        <w:wordWrap/>
        <w:overflowPunct/>
        <w:topLinePunct w:val="0"/>
        <w:autoSpaceDE/>
        <w:autoSpaceDN/>
        <w:bidi w:val="0"/>
        <w:adjustRightInd/>
        <w:snapToGrid/>
        <w:spacing w:line="560" w:lineRule="exact"/>
        <w:ind w:firstLine="600" w:firstLineChars="200"/>
        <w:jc w:val="left"/>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sz w:val="30"/>
          <w:szCs w:val="30"/>
          <w:lang w:val="en-US" w:eastAsia="zh-CN"/>
        </w:rPr>
        <w:t>多年来，由于园区建设与产业布局缺乏科学合理规划、造成产业布局分散，产业层次偏低，企业集聚难度大、集约化发展水平弱。一些企业由于自身原因长期闲置土地，造成单位面积土地投资强度和投入产出强度低，很大程度上挤占了园区发展空间，影响了规模化生产的发展。</w:t>
      </w:r>
    </w:p>
    <w:p>
      <w:pPr>
        <w:pageBreakBefore w:val="0"/>
        <w:tabs>
          <w:tab w:val="left" w:pos="795"/>
        </w:tabs>
        <w:kinsoku/>
        <w:wordWrap/>
        <w:overflowPunct/>
        <w:topLinePunct w:val="0"/>
        <w:autoSpaceDE/>
        <w:autoSpaceDN/>
        <w:bidi w:val="0"/>
        <w:adjustRightInd/>
        <w:snapToGrid/>
        <w:spacing w:line="560" w:lineRule="exact"/>
        <w:ind w:firstLine="643" w:firstLineChars="200"/>
        <w:jc w:val="left"/>
        <w:textAlignment w:val="auto"/>
        <w:outlineLvl w:val="1"/>
        <w:rPr>
          <w:rStyle w:val="27"/>
          <w:rFonts w:hint="eastAsia" w:ascii="楷体" w:hAnsi="楷体" w:eastAsia="楷体" w:cs="楷体"/>
          <w:color w:val="auto"/>
          <w:lang w:val="en-US" w:eastAsia="zh-CN"/>
        </w:rPr>
      </w:pPr>
      <w:bookmarkStart w:id="41" w:name="_Toc457517795"/>
      <w:bookmarkStart w:id="42" w:name="_Toc908"/>
      <w:bookmarkStart w:id="43" w:name="_Toc29770"/>
      <w:bookmarkStart w:id="44" w:name="_Toc8064"/>
      <w:bookmarkStart w:id="45" w:name="_Toc21279"/>
      <w:bookmarkStart w:id="46" w:name="_Toc24686"/>
      <w:bookmarkStart w:id="47" w:name="_Toc1509"/>
      <w:r>
        <w:rPr>
          <w:rStyle w:val="27"/>
          <w:rFonts w:hint="eastAsia" w:ascii="楷体" w:hAnsi="楷体" w:eastAsia="楷体" w:cs="楷体"/>
          <w:color w:val="auto"/>
          <w:sz w:val="32"/>
          <w:szCs w:val="32"/>
          <w:lang w:val="en-US" w:eastAsia="zh-CN"/>
        </w:rPr>
        <w:t>二、发展环境</w:t>
      </w:r>
      <w:bookmarkEnd w:id="41"/>
      <w:bookmarkEnd w:id="42"/>
      <w:bookmarkEnd w:id="43"/>
    </w:p>
    <w:bookmarkEnd w:id="44"/>
    <w:bookmarkEnd w:id="45"/>
    <w:bookmarkEnd w:id="46"/>
    <w:bookmarkEnd w:id="47"/>
    <w:p>
      <w:pPr>
        <w:pStyle w:val="5"/>
        <w:pageBreakBefore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color w:val="auto"/>
          <w:sz w:val="32"/>
          <w:szCs w:val="32"/>
          <w:lang w:val="en-US" w:eastAsia="zh-CN"/>
        </w:rPr>
      </w:pPr>
      <w:bookmarkStart w:id="48" w:name="_Toc26696"/>
      <w:bookmarkStart w:id="49" w:name="_Toc1878337167"/>
      <w:bookmarkStart w:id="50" w:name="_Toc9250"/>
      <w:r>
        <w:rPr>
          <w:rFonts w:hint="eastAsia" w:ascii="仿宋" w:hAnsi="仿宋" w:eastAsia="仿宋" w:cs="仿宋"/>
          <w:color w:val="auto"/>
          <w:sz w:val="32"/>
          <w:szCs w:val="32"/>
          <w:lang w:val="en-US" w:eastAsia="zh-CN"/>
        </w:rPr>
        <w:t>(一)发展机遇</w:t>
      </w:r>
      <w:bookmarkEnd w:id="48"/>
      <w:bookmarkEnd w:id="49"/>
      <w:bookmarkEnd w:id="50"/>
    </w:p>
    <w:p>
      <w:pPr>
        <w:pageBreakBefore w:val="0"/>
        <w:tabs>
          <w:tab w:val="left" w:pos="2428"/>
        </w:tabs>
        <w:kinsoku/>
        <w:wordWrap/>
        <w:overflowPunct/>
        <w:topLinePunct w:val="0"/>
        <w:autoSpaceDE/>
        <w:autoSpaceDN/>
        <w:bidi w:val="0"/>
        <w:adjustRightInd/>
        <w:snapToGrid/>
        <w:spacing w:line="560" w:lineRule="exact"/>
        <w:ind w:firstLine="600" w:firstLineChars="200"/>
        <w:jc w:val="left"/>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1、国家继续向西开放带来新动力</w:t>
      </w:r>
    </w:p>
    <w:p>
      <w:pPr>
        <w:pageBreakBefore w:val="0"/>
        <w:tabs>
          <w:tab w:val="left" w:pos="2428"/>
        </w:tabs>
        <w:kinsoku/>
        <w:wordWrap/>
        <w:overflowPunct/>
        <w:topLinePunct w:val="0"/>
        <w:autoSpaceDE/>
        <w:autoSpaceDN/>
        <w:bidi w:val="0"/>
        <w:adjustRightInd/>
        <w:snapToGrid/>
        <w:spacing w:line="560" w:lineRule="exact"/>
        <w:ind w:firstLine="600" w:firstLineChars="200"/>
        <w:jc w:val="left"/>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十四五”时期，国家将继续实施向西开放战略，提出将宁夏建成国家能源基地、战略性新兴产业基地。在新一轮西部大开发中，平罗正处于呼包银榆经济带的中心位置，区位优势明显，有利于充分利用国际国内两种资源、两个市场，促进优势企业“走出去”开辟产业转移空间。在深入实施西部大开发战略背景下，“一带一路”倡议</w:t>
      </w:r>
      <w:bookmarkStart w:id="414" w:name="_GoBack"/>
      <w:bookmarkEnd w:id="414"/>
      <w:r>
        <w:rPr>
          <w:rFonts w:hint="eastAsia" w:ascii="仿宋_GB2312" w:hAnsi="仿宋_GB2312" w:eastAsia="仿宋_GB2312" w:cs="仿宋_GB2312"/>
          <w:color w:val="auto"/>
          <w:kern w:val="2"/>
          <w:sz w:val="30"/>
          <w:szCs w:val="30"/>
          <w:lang w:val="en-US" w:eastAsia="zh-CN" w:bidi="ar-SA"/>
        </w:rPr>
        <w:t>让宁夏有机会更深层次地融入经济全球化时代，为宁夏实现跨越式发展提供了契机。</w:t>
      </w:r>
    </w:p>
    <w:p>
      <w:pPr>
        <w:pageBreakBefore w:val="0"/>
        <w:tabs>
          <w:tab w:val="left" w:pos="2428"/>
        </w:tabs>
        <w:kinsoku/>
        <w:wordWrap/>
        <w:overflowPunct/>
        <w:topLinePunct w:val="0"/>
        <w:autoSpaceDE/>
        <w:autoSpaceDN/>
        <w:bidi w:val="0"/>
        <w:adjustRightInd/>
        <w:snapToGrid/>
        <w:spacing w:line="560" w:lineRule="exact"/>
        <w:ind w:firstLine="600" w:firstLineChars="200"/>
        <w:jc w:val="left"/>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2、东部沿海地区产业转移步伐加快</w:t>
      </w:r>
    </w:p>
    <w:p>
      <w:pPr>
        <w:pageBreakBefore w:val="0"/>
        <w:tabs>
          <w:tab w:val="left" w:pos="2428"/>
        </w:tabs>
        <w:kinsoku/>
        <w:wordWrap/>
        <w:overflowPunct/>
        <w:topLinePunct w:val="0"/>
        <w:autoSpaceDE/>
        <w:autoSpaceDN/>
        <w:bidi w:val="0"/>
        <w:adjustRightInd/>
        <w:snapToGrid/>
        <w:spacing w:line="560" w:lineRule="exact"/>
        <w:ind w:firstLine="600" w:firstLineChars="200"/>
        <w:jc w:val="left"/>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随着国内劳动力、土地等生产要素成本的攀升，以加工贸易为主的劳动密集型产业开始从东部地区向境外转移。在这样的背景下，将加工贸易留在国内，引导其向中西部地区梯度转移已是大势所趋。“十四五”期间，国家将从土地、财税、用工等多方面综合发力，出台中西部承接东部地区产业转移的鼓励政策，引导加工贸易从东部地区转向中西部地区。平罗县处于较低经济梯度区域，具有承接产业转移的能力和条件。</w:t>
      </w:r>
    </w:p>
    <w:p>
      <w:pPr>
        <w:pageBreakBefore w:val="0"/>
        <w:tabs>
          <w:tab w:val="left" w:pos="2428"/>
        </w:tabs>
        <w:kinsoku/>
        <w:wordWrap/>
        <w:overflowPunct/>
        <w:topLinePunct w:val="0"/>
        <w:autoSpaceDE/>
        <w:autoSpaceDN/>
        <w:bidi w:val="0"/>
        <w:adjustRightInd/>
        <w:snapToGrid/>
        <w:spacing w:line="560" w:lineRule="exact"/>
        <w:ind w:firstLine="600" w:firstLineChars="200"/>
        <w:jc w:val="left"/>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3、《中国制造2025》孕育新的机遇</w:t>
      </w:r>
    </w:p>
    <w:p>
      <w:pPr>
        <w:pageBreakBefore w:val="0"/>
        <w:tabs>
          <w:tab w:val="left" w:pos="2428"/>
        </w:tabs>
        <w:kinsoku/>
        <w:wordWrap/>
        <w:overflowPunct/>
        <w:topLinePunct w:val="0"/>
        <w:autoSpaceDE/>
        <w:autoSpaceDN/>
        <w:bidi w:val="0"/>
        <w:adjustRightInd/>
        <w:snapToGrid/>
        <w:spacing w:line="560" w:lineRule="exact"/>
        <w:ind w:firstLine="600" w:firstLineChars="200"/>
        <w:jc w:val="left"/>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中国制造2025》、“互联网+”行动计划、供给侧结构性改革等一系列重大举措的出合，为我们加快产业转型升级和结构调整提供了新的机遇。顺应“互联网+”的发展趋势，以信息化与工业化深度融合为主线，促进制造业朝高端、智能、绿色、服务方向发展，智能制造、绿色制造正在成为产业变革的重要方向，这为我县强化工业基础能力，推动制造业和互联网的深度融合，加快工业经济绿色转型，填补市场新需求提供了重要契机。</w:t>
      </w:r>
    </w:p>
    <w:p>
      <w:pPr>
        <w:pageBreakBefore w:val="0"/>
        <w:tabs>
          <w:tab w:val="left" w:pos="2428"/>
        </w:tabs>
        <w:kinsoku/>
        <w:wordWrap/>
        <w:overflowPunct/>
        <w:topLinePunct w:val="0"/>
        <w:autoSpaceDE/>
        <w:autoSpaceDN/>
        <w:bidi w:val="0"/>
        <w:adjustRightInd/>
        <w:snapToGrid/>
        <w:spacing w:line="560" w:lineRule="exact"/>
        <w:ind w:firstLine="600" w:firstLineChars="200"/>
        <w:jc w:val="left"/>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4、新型工业化发展的基础条件已经具备</w:t>
      </w:r>
    </w:p>
    <w:p>
      <w:pPr>
        <w:keepNext w:val="0"/>
        <w:keepLines w:val="0"/>
        <w:pageBreakBefore w:val="0"/>
        <w:widowControl w:val="0"/>
        <w:tabs>
          <w:tab w:val="left" w:pos="2428"/>
        </w:tabs>
        <w:kinsoku/>
        <w:wordWrap/>
        <w:overflowPunct/>
        <w:topLinePunct w:val="0"/>
        <w:autoSpaceDE/>
        <w:autoSpaceDN/>
        <w:bidi w:val="0"/>
        <w:adjustRightInd/>
        <w:snapToGrid/>
        <w:spacing w:line="560" w:lineRule="exact"/>
        <w:ind w:firstLine="600" w:firstLineChars="200"/>
        <w:jc w:val="left"/>
        <w:textAlignment w:val="auto"/>
        <w:rPr>
          <w:rFonts w:hint="eastAsia" w:ascii="Calibri" w:hAnsi="Calibri" w:eastAsia="宋体" w:cs="Times New Roman"/>
          <w:kern w:val="2"/>
          <w:sz w:val="21"/>
          <w:szCs w:val="24"/>
          <w:lang w:val="en-US" w:eastAsia="zh-CN" w:bidi="ar-SA"/>
        </w:rPr>
      </w:pPr>
      <w:r>
        <w:rPr>
          <w:rFonts w:hint="eastAsia" w:ascii="仿宋_GB2312" w:hAnsi="仿宋_GB2312" w:eastAsia="仿宋_GB2312" w:cs="仿宋_GB2312"/>
          <w:color w:val="auto"/>
          <w:kern w:val="2"/>
          <w:sz w:val="30"/>
          <w:szCs w:val="30"/>
          <w:lang w:val="en-US" w:eastAsia="zh-CN" w:bidi="ar-SA"/>
        </w:rPr>
        <w:t>当前，平罗县域经济已步入“新常态”，具备发展新型工业的基础条件。首先，平罗县是呼包银兰经济带、沿黄经济带的重要节点城市，呼包银高铁等工程的建设，将进一步巩固连接东西的交通枢纽地位。其次，平罗县周边是我国煤炭资源开采的重要产区（内蒙古乌海矿区、鄂尔多斯矿区、神木矿区等），煤炭来源有充分的保证。再次，平罗县工业发展基础较好，</w:t>
      </w:r>
      <w:r>
        <w:rPr>
          <w:rFonts w:hint="eastAsia" w:ascii="仿宋_GB2312" w:hAnsi="仿宋_GB2312" w:eastAsia="仿宋_GB2312" w:cs="仿宋_GB2312"/>
          <w:b w:val="0"/>
          <w:bCs w:val="0"/>
          <w:color w:val="auto"/>
          <w:kern w:val="2"/>
          <w:sz w:val="30"/>
          <w:szCs w:val="30"/>
          <w:lang w:val="en-US" w:eastAsia="zh-CN" w:bidi="ar-SA"/>
        </w:rPr>
        <w:t>“十三五”期间，平罗县成品活性炭产量和出口量分别占全国的60%和59%，双氰胺产能占全世界需求量的37.5%，硅锰、硅铁等多元合金量大质优，成为全国钢铁行业主要合作伙伴。</w:t>
      </w:r>
    </w:p>
    <w:p>
      <w:pPr>
        <w:bidi w:val="0"/>
        <w:rPr>
          <w:rFonts w:hint="eastAsia"/>
          <w:lang w:val="en-US" w:eastAsia="zh-CN"/>
        </w:rPr>
      </w:pPr>
      <w:r>
        <w:rPr>
          <w:rFonts w:hint="eastAsia"/>
          <w:lang w:val="en-US" w:eastAsia="zh-CN"/>
        </w:rPr>
        <w:drawing>
          <wp:inline distT="0" distB="0" distL="114300" distR="114300">
            <wp:extent cx="5343525" cy="3609975"/>
            <wp:effectExtent l="0" t="0" r="9525" b="9525"/>
            <wp:docPr id="6" name="图片 6" descr="f6637bf096a8c75f142196bbf439f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6637bf096a8c75f142196bbf439f62"/>
                    <pic:cNvPicPr>
                      <a:picLocks noChangeAspect="1"/>
                    </pic:cNvPicPr>
                  </pic:nvPicPr>
                  <pic:blipFill>
                    <a:blip r:embed="rId5"/>
                    <a:stretch>
                      <a:fillRect/>
                    </a:stretch>
                  </pic:blipFill>
                  <pic:spPr>
                    <a:xfrm>
                      <a:off x="0" y="0"/>
                      <a:ext cx="5343525" cy="3609975"/>
                    </a:xfrm>
                    <a:prstGeom prst="rect">
                      <a:avLst/>
                    </a:prstGeom>
                  </pic:spPr>
                </pic:pic>
              </a:graphicData>
            </a:graphic>
          </wp:inline>
        </w:drawing>
      </w:r>
    </w:p>
    <w:p>
      <w:pPr>
        <w:bidi w:val="0"/>
        <w:rPr>
          <w:rFonts w:hint="eastAsia" w:ascii="宋体" w:hAnsi="宋体" w:eastAsia="宋体" w:cs="Arial"/>
          <w:color w:val="auto"/>
          <w:sz w:val="21"/>
          <w:szCs w:val="21"/>
          <w:shd w:val="clear" w:color="auto" w:fill="FFFFFF"/>
        </w:rPr>
      </w:pPr>
      <w:r>
        <w:rPr>
          <w:rFonts w:hint="eastAsia" w:ascii="宋体" w:hAnsi="宋体" w:eastAsia="宋体"/>
          <w:color w:val="auto"/>
          <w:sz w:val="21"/>
          <w:szCs w:val="21"/>
        </w:rPr>
        <w:t xml:space="preserve">图 </w:t>
      </w:r>
      <w:r>
        <w:rPr>
          <w:rFonts w:ascii="宋体" w:hAnsi="宋体" w:eastAsia="宋体"/>
          <w:color w:val="auto"/>
          <w:sz w:val="21"/>
          <w:szCs w:val="21"/>
        </w:rPr>
        <w:fldChar w:fldCharType="begin"/>
      </w:r>
      <w:r>
        <w:rPr>
          <w:rFonts w:ascii="宋体" w:hAnsi="宋体" w:eastAsia="宋体"/>
          <w:color w:val="auto"/>
          <w:sz w:val="21"/>
          <w:szCs w:val="21"/>
        </w:rPr>
        <w:instrText xml:space="preserve"> </w:instrText>
      </w:r>
      <w:r>
        <w:rPr>
          <w:rFonts w:hint="eastAsia" w:ascii="宋体" w:hAnsi="宋体" w:eastAsia="宋体"/>
          <w:color w:val="auto"/>
          <w:sz w:val="21"/>
          <w:szCs w:val="21"/>
        </w:rPr>
        <w:instrText xml:space="preserve">STYLEREF 1 \s</w:instrText>
      </w:r>
      <w:r>
        <w:rPr>
          <w:rFonts w:ascii="宋体" w:hAnsi="宋体" w:eastAsia="宋体"/>
          <w:color w:val="auto"/>
          <w:sz w:val="21"/>
          <w:szCs w:val="21"/>
        </w:rPr>
        <w:instrText xml:space="preserve"> </w:instrText>
      </w:r>
      <w:r>
        <w:rPr>
          <w:rFonts w:ascii="宋体" w:hAnsi="宋体" w:eastAsia="宋体"/>
          <w:color w:val="auto"/>
          <w:sz w:val="21"/>
          <w:szCs w:val="21"/>
        </w:rPr>
        <w:fldChar w:fldCharType="separate"/>
      </w:r>
      <w:r>
        <w:rPr>
          <w:rFonts w:ascii="宋体" w:hAnsi="宋体" w:eastAsia="宋体"/>
          <w:color w:val="auto"/>
          <w:sz w:val="21"/>
          <w:szCs w:val="21"/>
        </w:rPr>
        <w:t>1</w:t>
      </w:r>
      <w:r>
        <w:rPr>
          <w:rFonts w:ascii="宋体" w:hAnsi="宋体" w:eastAsia="宋体"/>
          <w:color w:val="auto"/>
          <w:sz w:val="21"/>
          <w:szCs w:val="21"/>
        </w:rPr>
        <w:fldChar w:fldCharType="end"/>
      </w:r>
      <w:r>
        <w:rPr>
          <w:rFonts w:ascii="宋体" w:hAnsi="宋体" w:eastAsia="宋体"/>
          <w:color w:val="auto"/>
          <w:sz w:val="21"/>
          <w:szCs w:val="21"/>
        </w:rPr>
        <w:noBreakHyphen/>
      </w:r>
      <w:r>
        <w:rPr>
          <w:rFonts w:ascii="宋体" w:hAnsi="宋体" w:eastAsia="宋体"/>
          <w:color w:val="auto"/>
          <w:sz w:val="21"/>
          <w:szCs w:val="21"/>
        </w:rPr>
        <w:fldChar w:fldCharType="begin"/>
      </w:r>
      <w:r>
        <w:rPr>
          <w:rFonts w:ascii="宋体" w:hAnsi="宋体" w:eastAsia="宋体"/>
          <w:color w:val="auto"/>
          <w:sz w:val="21"/>
          <w:szCs w:val="21"/>
        </w:rPr>
        <w:instrText xml:space="preserve"> </w:instrText>
      </w:r>
      <w:r>
        <w:rPr>
          <w:rFonts w:hint="eastAsia" w:ascii="宋体" w:hAnsi="宋体" w:eastAsia="宋体"/>
          <w:color w:val="auto"/>
          <w:sz w:val="21"/>
          <w:szCs w:val="21"/>
        </w:rPr>
        <w:instrText xml:space="preserve">SEQ 图 \* ARABIC \s 1</w:instrText>
      </w:r>
      <w:r>
        <w:rPr>
          <w:rFonts w:ascii="宋体" w:hAnsi="宋体" w:eastAsia="宋体"/>
          <w:color w:val="auto"/>
          <w:sz w:val="21"/>
          <w:szCs w:val="21"/>
        </w:rPr>
        <w:instrText xml:space="preserve"> </w:instrText>
      </w:r>
      <w:r>
        <w:rPr>
          <w:rFonts w:ascii="宋体" w:hAnsi="宋体" w:eastAsia="宋体"/>
          <w:color w:val="auto"/>
          <w:sz w:val="21"/>
          <w:szCs w:val="21"/>
        </w:rPr>
        <w:fldChar w:fldCharType="separate"/>
      </w:r>
      <w:r>
        <w:rPr>
          <w:rFonts w:ascii="宋体" w:hAnsi="宋体" w:eastAsia="宋体"/>
          <w:color w:val="auto"/>
          <w:sz w:val="21"/>
          <w:szCs w:val="21"/>
        </w:rPr>
        <w:t>1</w:t>
      </w:r>
      <w:r>
        <w:rPr>
          <w:rFonts w:ascii="宋体" w:hAnsi="宋体" w:eastAsia="宋体"/>
          <w:color w:val="auto"/>
          <w:sz w:val="21"/>
          <w:szCs w:val="21"/>
        </w:rPr>
        <w:fldChar w:fldCharType="end"/>
      </w:r>
      <w:r>
        <w:rPr>
          <w:rFonts w:hint="eastAsia" w:ascii="宋体" w:hAnsi="宋体" w:eastAsia="宋体"/>
          <w:color w:val="auto"/>
          <w:sz w:val="21"/>
          <w:szCs w:val="21"/>
        </w:rPr>
        <w:t>平罗县</w:t>
      </w:r>
      <w:r>
        <w:rPr>
          <w:rFonts w:hint="eastAsia" w:ascii="宋体" w:hAnsi="宋体" w:eastAsia="宋体" w:cs="Arial"/>
          <w:color w:val="auto"/>
          <w:sz w:val="21"/>
          <w:szCs w:val="21"/>
          <w:shd w:val="clear" w:color="auto" w:fill="FFFFFF"/>
        </w:rPr>
        <w:t>在“一带一路”、“沿黄生态经济带”、“沿黄城市群”、“银川都市圈”区位图</w:t>
      </w:r>
    </w:p>
    <w:p>
      <w:pPr>
        <w:pStyle w:val="5"/>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color w:val="auto"/>
          <w:kern w:val="2"/>
          <w:sz w:val="32"/>
          <w:szCs w:val="32"/>
          <w:lang w:val="en-US" w:eastAsia="zh-CN" w:bidi="ar-SA"/>
        </w:rPr>
      </w:pPr>
      <w:bookmarkStart w:id="51" w:name="_Toc22972"/>
      <w:bookmarkStart w:id="52" w:name="_Toc11441"/>
      <w:bookmarkStart w:id="53" w:name="_Toc492118431"/>
      <w:r>
        <w:rPr>
          <w:rFonts w:hint="eastAsia" w:ascii="仿宋" w:hAnsi="仿宋" w:eastAsia="仿宋" w:cs="仿宋"/>
          <w:color w:val="auto"/>
          <w:sz w:val="32"/>
          <w:szCs w:val="32"/>
          <w:lang w:val="en-US" w:eastAsia="zh-CN"/>
        </w:rPr>
        <w:t>(二)面临挑战</w:t>
      </w:r>
      <w:bookmarkEnd w:id="51"/>
      <w:bookmarkEnd w:id="52"/>
      <w:bookmarkEnd w:id="53"/>
    </w:p>
    <w:p>
      <w:pPr>
        <w:pageBreakBefore w:val="0"/>
        <w:widowControl w:val="0"/>
        <w:tabs>
          <w:tab w:val="left" w:pos="2428"/>
        </w:tabs>
        <w:kinsoku/>
        <w:wordWrap/>
        <w:overflowPunct/>
        <w:topLinePunct w:val="0"/>
        <w:autoSpaceDE/>
        <w:autoSpaceDN/>
        <w:bidi w:val="0"/>
        <w:adjustRightInd/>
        <w:snapToGrid/>
        <w:spacing w:line="560" w:lineRule="exact"/>
        <w:ind w:firstLine="600" w:firstLineChars="200"/>
        <w:jc w:val="left"/>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1、支柱产业去产能影响经济增速</w:t>
      </w:r>
    </w:p>
    <w:p>
      <w:pPr>
        <w:pageBreakBefore w:val="0"/>
        <w:widowControl w:val="0"/>
        <w:tabs>
          <w:tab w:val="left" w:pos="2428"/>
        </w:tabs>
        <w:kinsoku/>
        <w:wordWrap/>
        <w:overflowPunct/>
        <w:topLinePunct w:val="0"/>
        <w:autoSpaceDE/>
        <w:autoSpaceDN/>
        <w:bidi w:val="0"/>
        <w:adjustRightInd/>
        <w:snapToGrid/>
        <w:spacing w:line="560" w:lineRule="exact"/>
        <w:ind w:firstLine="600" w:firstLineChars="200"/>
        <w:jc w:val="left"/>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000000" w:themeColor="text1"/>
          <w:kern w:val="2"/>
          <w:sz w:val="30"/>
          <w:szCs w:val="30"/>
          <w:lang w:val="en-US" w:eastAsia="zh-CN" w:bidi="ar-SA"/>
          <w14:textFill>
            <w14:solidFill>
              <w14:schemeClr w14:val="tx1"/>
            </w14:solidFill>
          </w14:textFill>
        </w:rPr>
        <w:t>经过多年开采，以煤炭为支撑的产业发展已不可持续，这势必影响到钢铁、冶金和化工等行业的发展。</w:t>
      </w:r>
      <w:r>
        <w:rPr>
          <w:rFonts w:hint="eastAsia" w:ascii="仿宋_GB2312" w:hAnsi="仿宋_GB2312" w:eastAsia="仿宋_GB2312" w:cs="仿宋_GB2312"/>
          <w:color w:val="auto"/>
          <w:kern w:val="2"/>
          <w:sz w:val="30"/>
          <w:szCs w:val="30"/>
          <w:lang w:val="en-US" w:eastAsia="zh-CN" w:bidi="ar-SA"/>
        </w:rPr>
        <w:t>此外，近几年国内主要工业品价格一路下滑，企业库存持续增加。此外，国家对高耗能等领域的调控波及平罗的煤炭及冶金辅料产业、化工产业的生产。</w:t>
      </w:r>
    </w:p>
    <w:p>
      <w:pPr>
        <w:pageBreakBefore w:val="0"/>
        <w:widowControl w:val="0"/>
        <w:tabs>
          <w:tab w:val="left" w:pos="2428"/>
        </w:tabs>
        <w:kinsoku/>
        <w:wordWrap/>
        <w:overflowPunct/>
        <w:topLinePunct w:val="0"/>
        <w:autoSpaceDE/>
        <w:autoSpaceDN/>
        <w:bidi w:val="0"/>
        <w:adjustRightInd/>
        <w:snapToGrid/>
        <w:spacing w:line="560" w:lineRule="exact"/>
        <w:ind w:firstLine="600" w:firstLineChars="200"/>
        <w:jc w:val="left"/>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2、能源资源和环境约束持续加大</w:t>
      </w:r>
    </w:p>
    <w:p>
      <w:pPr>
        <w:pageBreakBefore w:val="0"/>
        <w:widowControl w:val="0"/>
        <w:tabs>
          <w:tab w:val="left" w:pos="2428"/>
        </w:tabs>
        <w:kinsoku/>
        <w:wordWrap/>
        <w:overflowPunct/>
        <w:topLinePunct w:val="0"/>
        <w:autoSpaceDE/>
        <w:autoSpaceDN/>
        <w:bidi w:val="0"/>
        <w:adjustRightInd/>
        <w:snapToGrid/>
        <w:spacing w:line="560" w:lineRule="exact"/>
        <w:ind w:firstLine="600" w:firstLineChars="200"/>
        <w:jc w:val="left"/>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近年来，平罗县经济社会快速发展与资源能源供给矛盾日益突出，对以重化工为主的工业经济约束明显加大。受工业结构约束，冶金、电石化工等高能耗行业在一定时期内仍将是支撑工业发展的主导行业，能源消费刚性需求仍将增加，节能降耗空间已十分有限。同时，随着环境形势更为严峻，前期积累的问题越发突出，煤炭、硅石等资源供给急剧萎缩，将给煤电、铁合全等行业带来巨大冲击。新《环保法》的实施，对污染物排放控制指标提出更加严格的要求，环保投入进一步增加，环境约束持续加大。</w:t>
      </w:r>
    </w:p>
    <w:p>
      <w:pPr>
        <w:pageBreakBefore w:val="0"/>
        <w:widowControl w:val="0"/>
        <w:tabs>
          <w:tab w:val="left" w:pos="2428"/>
        </w:tabs>
        <w:kinsoku/>
        <w:wordWrap/>
        <w:overflowPunct/>
        <w:topLinePunct w:val="0"/>
        <w:autoSpaceDE/>
        <w:autoSpaceDN/>
        <w:bidi w:val="0"/>
        <w:adjustRightInd/>
        <w:snapToGrid/>
        <w:spacing w:line="560" w:lineRule="exact"/>
        <w:ind w:firstLine="600" w:firstLineChars="200"/>
        <w:jc w:val="left"/>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3、区域产业竞争优势有所下降</w:t>
      </w:r>
    </w:p>
    <w:p>
      <w:pPr>
        <w:keepNext w:val="0"/>
        <w:keepLines w:val="0"/>
        <w:pageBreakBefore w:val="0"/>
        <w:widowControl w:val="0"/>
        <w:tabs>
          <w:tab w:val="left" w:pos="2428"/>
        </w:tabs>
        <w:kinsoku/>
        <w:wordWrap/>
        <w:overflowPunct/>
        <w:topLinePunct w:val="0"/>
        <w:autoSpaceDE/>
        <w:autoSpaceDN/>
        <w:bidi w:val="0"/>
        <w:adjustRightInd/>
        <w:snapToGrid/>
        <w:spacing w:line="560" w:lineRule="exact"/>
        <w:ind w:firstLine="600" w:firstLineChars="200"/>
        <w:jc w:val="left"/>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000000" w:themeColor="text1"/>
          <w:kern w:val="2"/>
          <w:sz w:val="30"/>
          <w:szCs w:val="30"/>
          <w:lang w:val="en-US" w:eastAsia="zh-CN" w:bidi="ar-SA"/>
          <w14:textFill>
            <w14:solidFill>
              <w14:schemeClr w14:val="tx1"/>
            </w14:solidFill>
          </w14:textFill>
        </w:rPr>
        <w:t>随着煤炭资源的枯竭，平罗县能源资源的优势已不复存在，传统产业比较优势不断弱化</w:t>
      </w:r>
      <w:r>
        <w:rPr>
          <w:rFonts w:hint="eastAsia" w:ascii="仿宋_GB2312" w:hAnsi="仿宋_GB2312" w:eastAsia="仿宋_GB2312" w:cs="仿宋_GB2312"/>
          <w:color w:val="auto"/>
          <w:kern w:val="2"/>
          <w:sz w:val="30"/>
          <w:szCs w:val="30"/>
          <w:lang w:val="en-US" w:eastAsia="zh-CN" w:bidi="ar-SA"/>
        </w:rPr>
        <w:t>，周边各地市依托资源能源，大多形成了与平罗县及石嘴山市产业结构类同的重化工业产业体系，如宁东重化工基地、中宁工业园区等工业基地，区域间同质化竞争进一步加剧。另外，在扩大开放和招商引资上与相邻的银川、吴忠以及乌海、鄂尔多斯等市相比，带动力强的重大项目较少，优质工业增量不足。</w:t>
      </w:r>
    </w:p>
    <w:p>
      <w:pPr>
        <w:keepNext w:val="0"/>
        <w:keepLines w:val="0"/>
        <w:pageBreakBefore w:val="0"/>
        <w:widowControl w:val="0"/>
        <w:tabs>
          <w:tab w:val="left" w:pos="2428"/>
        </w:tabs>
        <w:kinsoku/>
        <w:wordWrap/>
        <w:overflowPunct/>
        <w:topLinePunct w:val="0"/>
        <w:autoSpaceDE/>
        <w:autoSpaceDN/>
        <w:bidi w:val="0"/>
        <w:adjustRightInd/>
        <w:snapToGrid/>
        <w:spacing w:line="560" w:lineRule="exact"/>
        <w:ind w:firstLine="600" w:firstLineChars="200"/>
        <w:jc w:val="left"/>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4、工业固定资产投资明显放缓</w:t>
      </w:r>
    </w:p>
    <w:p>
      <w:pPr>
        <w:keepNext w:val="0"/>
        <w:keepLines w:val="0"/>
        <w:pageBreakBefore w:val="0"/>
        <w:widowControl w:val="0"/>
        <w:tabs>
          <w:tab w:val="left" w:pos="2428"/>
        </w:tabs>
        <w:kinsoku/>
        <w:wordWrap/>
        <w:overflowPunct/>
        <w:topLinePunct w:val="0"/>
        <w:autoSpaceDE/>
        <w:autoSpaceDN/>
        <w:bidi w:val="0"/>
        <w:adjustRightInd/>
        <w:snapToGrid/>
        <w:spacing w:line="560" w:lineRule="exact"/>
        <w:ind w:firstLine="600" w:firstLineChars="200"/>
        <w:jc w:val="left"/>
        <w:textAlignment w:val="auto"/>
        <w:rPr>
          <w:rFonts w:hint="eastAsia" w:asciiTheme="majorEastAsia" w:hAnsiTheme="majorEastAsia" w:eastAsiaTheme="majorEastAsia" w:cstheme="majorEastAsia"/>
          <w:color w:val="auto"/>
          <w:sz w:val="30"/>
          <w:szCs w:val="30"/>
          <w:lang w:val="en-US" w:eastAsia="zh-CN"/>
        </w:rPr>
      </w:pPr>
      <w:r>
        <w:rPr>
          <w:rFonts w:hint="eastAsia" w:ascii="仿宋_GB2312" w:hAnsi="仿宋_GB2312" w:eastAsia="仿宋_GB2312" w:cs="仿宋_GB2312"/>
          <w:color w:val="auto"/>
          <w:kern w:val="2"/>
          <w:sz w:val="30"/>
          <w:szCs w:val="30"/>
          <w:lang w:val="en-US" w:eastAsia="zh-CN" w:bidi="ar-SA"/>
        </w:rPr>
        <w:t>对于经济欠发达地区来说，投资依然是经济增长的主要动力。但面对国内能源和原材料加工产能严重过剩的态势，市场需求增长乏力，一定程度上抑制了社会投资的积极性。以煤、电、冶、化为主导产业的平罗县，产业转型步伐缓慢，投资项目选择的空间比较狭窄，投资方向和投资领域难以准确把握和判断，导致企业自身投资意愿不强，投资项目明显减少。另一方面，与周边地区比较优势弱化，软硬件吸引力不足，招商项目实际落地率低，难以形成持续稳定的增长后劲，不足以推动工业结构调整与转型升级。</w:t>
      </w:r>
      <w:bookmarkStart w:id="54" w:name="_Toc185"/>
      <w:bookmarkStart w:id="55" w:name="_Toc24621"/>
    </w:p>
    <w:p>
      <w:pPr>
        <w:pStyle w:val="3"/>
        <w:pageBreakBefore w:val="0"/>
        <w:widowControl w:val="0"/>
        <w:kinsoku/>
        <w:wordWrap/>
        <w:overflowPunct/>
        <w:topLinePunct w:val="0"/>
        <w:autoSpaceDE/>
        <w:autoSpaceDN/>
        <w:bidi w:val="0"/>
        <w:adjustRightInd/>
        <w:snapToGrid/>
        <w:spacing w:line="560" w:lineRule="exact"/>
        <w:jc w:val="center"/>
        <w:textAlignment w:val="auto"/>
        <w:rPr>
          <w:rFonts w:hint="eastAsia" w:asciiTheme="majorEastAsia" w:hAnsiTheme="majorEastAsia" w:eastAsiaTheme="majorEastAsia" w:cstheme="majorEastAsia"/>
          <w:color w:val="auto"/>
          <w:sz w:val="32"/>
          <w:szCs w:val="32"/>
          <w:lang w:val="en-US" w:eastAsia="zh-CN"/>
        </w:rPr>
      </w:pPr>
    </w:p>
    <w:p>
      <w:pPr>
        <w:pStyle w:val="3"/>
        <w:pageBreakBefore w:val="0"/>
        <w:widowControl w:val="0"/>
        <w:kinsoku/>
        <w:wordWrap/>
        <w:overflowPunct/>
        <w:topLinePunct w:val="0"/>
        <w:autoSpaceDE/>
        <w:autoSpaceDN/>
        <w:bidi w:val="0"/>
        <w:adjustRightInd/>
        <w:snapToGrid/>
        <w:spacing w:line="560" w:lineRule="exact"/>
        <w:jc w:val="center"/>
        <w:textAlignment w:val="auto"/>
        <w:rPr>
          <w:rFonts w:hint="eastAsia" w:asciiTheme="majorEastAsia" w:hAnsiTheme="majorEastAsia" w:eastAsiaTheme="majorEastAsia" w:cstheme="majorEastAsia"/>
          <w:color w:val="auto"/>
          <w:sz w:val="32"/>
          <w:szCs w:val="32"/>
          <w:lang w:val="en-US" w:eastAsia="zh-CN"/>
        </w:rPr>
      </w:pPr>
      <w:bookmarkStart w:id="56" w:name="_Toc2028067787"/>
      <w:bookmarkStart w:id="57" w:name="_Toc181"/>
      <w:bookmarkStart w:id="58" w:name="_Toc8020"/>
      <w:r>
        <w:rPr>
          <w:rFonts w:hint="eastAsia" w:ascii="黑体" w:hAnsi="黑体" w:eastAsia="黑体" w:cs="黑体"/>
          <w:b w:val="0"/>
          <w:bCs w:val="0"/>
          <w:color w:val="auto"/>
          <w:sz w:val="32"/>
          <w:szCs w:val="32"/>
          <w:lang w:val="en-US" w:eastAsia="zh-CN"/>
        </w:rPr>
        <w:t>第二章  总体思路和发展目标</w:t>
      </w:r>
      <w:bookmarkEnd w:id="54"/>
      <w:bookmarkEnd w:id="55"/>
      <w:bookmarkEnd w:id="56"/>
      <w:bookmarkEnd w:id="57"/>
      <w:bookmarkEnd w:id="58"/>
    </w:p>
    <w:p>
      <w:pPr>
        <w:pStyle w:val="4"/>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 w:hAnsi="楷体" w:eastAsia="楷体" w:cs="楷体"/>
          <w:color w:val="auto"/>
          <w:sz w:val="32"/>
          <w:szCs w:val="32"/>
          <w:lang w:val="en-US" w:eastAsia="zh-CN"/>
        </w:rPr>
      </w:pPr>
      <w:bookmarkStart w:id="59" w:name="_Toc9070"/>
      <w:bookmarkStart w:id="60" w:name="_Toc17024"/>
      <w:bookmarkStart w:id="61" w:name="_Toc9047"/>
      <w:bookmarkStart w:id="62" w:name="_Toc1287856586"/>
      <w:bookmarkStart w:id="63" w:name="_Toc21986"/>
      <w:bookmarkStart w:id="64" w:name="_Toc22980"/>
      <w:bookmarkStart w:id="65" w:name="_Toc6540"/>
      <w:r>
        <w:rPr>
          <w:rFonts w:hint="eastAsia" w:ascii="楷体" w:hAnsi="楷体" w:eastAsia="楷体" w:cs="楷体"/>
          <w:color w:val="auto"/>
          <w:sz w:val="32"/>
          <w:szCs w:val="32"/>
          <w:lang w:val="en-US" w:eastAsia="zh-CN"/>
        </w:rPr>
        <w:t>一、指导思想</w:t>
      </w:r>
      <w:bookmarkEnd w:id="59"/>
      <w:bookmarkEnd w:id="60"/>
      <w:bookmarkEnd w:id="61"/>
      <w:bookmarkEnd w:id="62"/>
      <w:bookmarkEnd w:id="63"/>
      <w:bookmarkEnd w:id="64"/>
      <w:bookmarkEnd w:id="65"/>
    </w:p>
    <w:p>
      <w:pPr>
        <w:pageBreakBefore w:val="0"/>
        <w:widowControl w:val="0"/>
        <w:tabs>
          <w:tab w:val="left" w:pos="2428"/>
        </w:tabs>
        <w:kinsoku/>
        <w:wordWrap/>
        <w:overflowPunct/>
        <w:topLinePunct w:val="0"/>
        <w:autoSpaceDE/>
        <w:autoSpaceDN/>
        <w:bidi w:val="0"/>
        <w:adjustRightInd/>
        <w:snapToGrid/>
        <w:spacing w:line="560" w:lineRule="exact"/>
        <w:ind w:firstLine="600" w:firstLineChars="200"/>
        <w:jc w:val="left"/>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全面贯彻党的十九大和十九届三中、四中、五中全会精神，认真践行“创新、协调、绿色、开放、共享”五大发展理念，抢抓国家西部大开发、“一带一路”和内陆开放型经济试验区建设等重大机遇。</w:t>
      </w:r>
      <w:r>
        <w:rPr>
          <w:rFonts w:hint="eastAsia" w:ascii="仿宋_GB2312" w:hAnsi="仿宋_GB2312" w:eastAsia="仿宋_GB2312" w:cs="仿宋_GB2312"/>
          <w:color w:val="000000" w:themeColor="text1"/>
          <w:kern w:val="2"/>
          <w:sz w:val="30"/>
          <w:szCs w:val="30"/>
          <w:lang w:val="en-US" w:eastAsia="zh-CN" w:bidi="ar-SA"/>
          <w14:textFill>
            <w14:solidFill>
              <w14:schemeClr w14:val="tx1"/>
            </w14:solidFill>
          </w14:textFill>
        </w:rPr>
        <w:t>贯彻落实国家“生态文明建设”、“中国制造2025”等重大战略部署，</w:t>
      </w:r>
      <w:r>
        <w:rPr>
          <w:rFonts w:hint="eastAsia" w:ascii="仿宋_GB2312" w:hAnsi="仿宋_GB2312" w:eastAsia="仿宋_GB2312" w:cs="仿宋_GB2312"/>
          <w:color w:val="auto"/>
          <w:kern w:val="2"/>
          <w:sz w:val="30"/>
          <w:szCs w:val="30"/>
          <w:lang w:val="en-US" w:eastAsia="zh-CN" w:bidi="ar-SA"/>
        </w:rPr>
        <w:t>把握“去产能”推进与“新经济”培育的重要契机，以建设“美丽平罗”为目标，以转型升级、创新驱动、绿色发展为主线。以承接产业转移、提质增效、增量培育、两化融合为重点，加快构建具有平罗特色的现代工业体系。实现从由资源能源消耗型向创新驱动型、从“两高一低”工业向绿色生态工业的转变，力争在新型工业化道路上迈出新步伐、实现新突破。</w:t>
      </w:r>
    </w:p>
    <w:p>
      <w:pPr>
        <w:pStyle w:val="4"/>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 w:hAnsi="楷体" w:eastAsia="楷体" w:cs="楷体"/>
          <w:color w:val="auto"/>
          <w:sz w:val="32"/>
          <w:szCs w:val="32"/>
          <w:lang w:val="en-US" w:eastAsia="zh-CN"/>
        </w:rPr>
      </w:pPr>
      <w:bookmarkStart w:id="66" w:name="_Toc30275"/>
      <w:bookmarkStart w:id="67" w:name="_Toc1695571534"/>
      <w:bookmarkStart w:id="68" w:name="_Toc23477"/>
      <w:bookmarkStart w:id="69" w:name="_Toc23720"/>
      <w:bookmarkStart w:id="70" w:name="_Toc12420"/>
      <w:bookmarkStart w:id="71" w:name="_Toc6579"/>
      <w:bookmarkStart w:id="72" w:name="_Toc13495"/>
      <w:r>
        <w:rPr>
          <w:rFonts w:hint="eastAsia" w:ascii="楷体" w:hAnsi="楷体" w:eastAsia="楷体" w:cs="楷体"/>
          <w:color w:val="auto"/>
          <w:sz w:val="32"/>
          <w:szCs w:val="32"/>
          <w:lang w:val="en-US" w:eastAsia="zh-CN"/>
        </w:rPr>
        <w:t>二、总体思路</w:t>
      </w:r>
      <w:bookmarkEnd w:id="66"/>
      <w:bookmarkEnd w:id="67"/>
      <w:bookmarkEnd w:id="68"/>
      <w:bookmarkEnd w:id="69"/>
      <w:bookmarkEnd w:id="70"/>
      <w:bookmarkEnd w:id="71"/>
      <w:bookmarkEnd w:id="72"/>
    </w:p>
    <w:p>
      <w:pPr>
        <w:pageBreakBefore w:val="0"/>
        <w:widowControl w:val="0"/>
        <w:tabs>
          <w:tab w:val="left" w:pos="2428"/>
        </w:tabs>
        <w:kinsoku/>
        <w:wordWrap/>
        <w:overflowPunct/>
        <w:topLinePunct w:val="0"/>
        <w:autoSpaceDE/>
        <w:autoSpaceDN/>
        <w:bidi w:val="0"/>
        <w:adjustRightInd/>
        <w:snapToGrid/>
        <w:spacing w:line="560" w:lineRule="exact"/>
        <w:ind w:firstLine="600" w:firstLineChars="200"/>
        <w:jc w:val="left"/>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实施一个战略“</w:t>
      </w:r>
      <w:r>
        <w:rPr>
          <w:rFonts w:hint="eastAsia" w:ascii="仿宋_GB2312" w:hAnsi="仿宋_GB2312" w:eastAsia="仿宋_GB2312" w:cs="仿宋_GB2312"/>
          <w:b/>
          <w:bCs/>
          <w:color w:val="auto"/>
          <w:kern w:val="2"/>
          <w:sz w:val="30"/>
          <w:szCs w:val="30"/>
          <w:lang w:val="en-US" w:eastAsia="zh-CN" w:bidi="ar-SA"/>
        </w:rPr>
        <w:t>工业强县、产业兴县</w:t>
      </w:r>
      <w:r>
        <w:rPr>
          <w:rFonts w:hint="eastAsia" w:ascii="仿宋_GB2312" w:hAnsi="仿宋_GB2312" w:eastAsia="仿宋_GB2312" w:cs="仿宋_GB2312"/>
          <w:color w:val="auto"/>
          <w:kern w:val="2"/>
          <w:sz w:val="30"/>
          <w:szCs w:val="30"/>
          <w:lang w:val="en-US" w:eastAsia="zh-CN" w:bidi="ar-SA"/>
        </w:rPr>
        <w:t>”，围绕一个主题“结构调整和转型升级”，强化两个支撑“科技创新、项目建设”，打造三个平台“太西园、红崖子园、崇岗园”，坚持“四个并重”（旧动能持续发力与新动能培育并重、新经济新业态培育与新兴服务业并重、发展生产性服务业与做大生活性服务业并重、传统主导产业改造提升与新产业招商引资并重）,做强做优“绿色氰胺和新材料产业，培育壮大先进装备制造”三大产业集群为主导，以新“清洁能源”为配套的生态型工业体系。坚决落实能耗“双控”任务，积极推进绿能开发、绿氢生产、绿色发展“三绿”导向，深入实施结构、绿色、技术、智能“四大改造”行动，扎实做好“调、转、控、引、培”五篇文章，重点发展新材料、新能源、新装备、新数字、新医药、新食品“六新”产业，推动工业发展质量变革、效率变革、动力变革，加快我县工业经济高质量发展。</w:t>
      </w:r>
    </w:p>
    <w:p>
      <w:pPr>
        <w:pStyle w:val="5"/>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color w:val="auto"/>
          <w:sz w:val="32"/>
          <w:szCs w:val="32"/>
          <w:lang w:val="en-US" w:eastAsia="zh-CN"/>
        </w:rPr>
      </w:pPr>
      <w:bookmarkStart w:id="73" w:name="_Toc18359"/>
      <w:bookmarkStart w:id="74" w:name="_Toc300"/>
      <w:bookmarkStart w:id="75" w:name="_Toc490070017"/>
      <w:r>
        <w:rPr>
          <w:rFonts w:hint="eastAsia" w:ascii="仿宋" w:hAnsi="仿宋" w:eastAsia="仿宋" w:cs="仿宋"/>
          <w:color w:val="auto"/>
          <w:sz w:val="32"/>
          <w:szCs w:val="32"/>
          <w:lang w:val="en-US" w:eastAsia="zh-CN"/>
        </w:rPr>
        <w:t>(一)转型升级、创新发展</w:t>
      </w:r>
      <w:bookmarkEnd w:id="73"/>
      <w:bookmarkEnd w:id="74"/>
      <w:bookmarkEnd w:id="75"/>
    </w:p>
    <w:p>
      <w:pPr>
        <w:pageBreakBefore w:val="0"/>
        <w:widowControl w:val="0"/>
        <w:tabs>
          <w:tab w:val="left" w:pos="2278"/>
        </w:tabs>
        <w:kinsoku/>
        <w:wordWrap/>
        <w:overflowPunct/>
        <w:topLinePunct w:val="0"/>
        <w:autoSpaceDE/>
        <w:autoSpaceDN/>
        <w:bidi w:val="0"/>
        <w:adjustRightInd/>
        <w:snapToGrid/>
        <w:spacing w:line="560" w:lineRule="exact"/>
        <w:ind w:firstLine="600" w:firstLineChars="200"/>
        <w:jc w:val="left"/>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大力培植发展新兴产业，推动新兴产业发展成为先导性、</w:t>
      </w:r>
    </w:p>
    <w:p>
      <w:pPr>
        <w:pageBreakBefore w:val="0"/>
        <w:widowControl w:val="0"/>
        <w:tabs>
          <w:tab w:val="left" w:pos="2278"/>
        </w:tabs>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0"/>
          <w:szCs w:val="30"/>
          <w:lang w:val="en-US" w:eastAsia="zh-CN" w:bidi="ar-SA"/>
        </w:rPr>
        <w:t>规模性产业，促使其做大做强；同时加快用高新技术和先进适用技术改造传统优势产业，推进传统优势产业向高端、高质、高效发展，打造我县现代化工业体系。实施创新驱动战略，着力构建以企业为主体、市场为导向、产学研相结合的技术创新体系，强化核心关键技术攻关，加快先进适用技术、工艺和设备推广和应用，带动产业和产品结构的优化升级。</w:t>
      </w:r>
    </w:p>
    <w:p>
      <w:pPr>
        <w:pStyle w:val="5"/>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color w:val="auto"/>
          <w:sz w:val="32"/>
          <w:szCs w:val="32"/>
          <w:lang w:val="en-US" w:eastAsia="zh-CN"/>
        </w:rPr>
      </w:pPr>
      <w:bookmarkStart w:id="76" w:name="_Toc19543"/>
      <w:bookmarkStart w:id="77" w:name="_Toc1452406176"/>
      <w:bookmarkStart w:id="78" w:name="_Toc5328"/>
      <w:r>
        <w:rPr>
          <w:rFonts w:hint="eastAsia" w:ascii="仿宋" w:hAnsi="仿宋" w:eastAsia="仿宋" w:cs="仿宋"/>
          <w:color w:val="auto"/>
          <w:sz w:val="32"/>
          <w:szCs w:val="32"/>
          <w:lang w:val="en-US" w:eastAsia="zh-CN"/>
        </w:rPr>
        <w:t>(二)龙头引领，集群发展</w:t>
      </w:r>
      <w:bookmarkEnd w:id="76"/>
      <w:bookmarkEnd w:id="77"/>
      <w:bookmarkEnd w:id="78"/>
    </w:p>
    <w:p>
      <w:pPr>
        <w:pageBreakBefore w:val="0"/>
        <w:widowControl w:val="0"/>
        <w:tabs>
          <w:tab w:val="left" w:pos="2778"/>
        </w:tabs>
        <w:kinsoku/>
        <w:wordWrap/>
        <w:overflowPunct/>
        <w:topLinePunct w:val="0"/>
        <w:autoSpaceDE/>
        <w:autoSpaceDN/>
        <w:bidi w:val="0"/>
        <w:adjustRightInd/>
        <w:snapToGrid/>
        <w:spacing w:line="560" w:lineRule="exact"/>
        <w:ind w:firstLine="600" w:firstLineChars="200"/>
        <w:jc w:val="left"/>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集中力量培育和引进一批主业突出、核心竞争力强的产业龙头企业，发挥其引领支撑作用，延伸完善产业链条件。大力推进全民创业，放宽准入门槛，激活民间资本，发展“</w:t>
      </w:r>
      <w:r>
        <w:rPr>
          <w:rFonts w:hint="eastAsia" w:ascii="仿宋_GB2312" w:hAnsi="仿宋_GB2312" w:eastAsia="仿宋_GB2312" w:cs="仿宋_GB2312"/>
          <w:b/>
          <w:bCs/>
          <w:color w:val="auto"/>
          <w:kern w:val="2"/>
          <w:sz w:val="30"/>
          <w:szCs w:val="30"/>
          <w:lang w:val="en-US" w:eastAsia="zh-CN" w:bidi="ar-SA"/>
        </w:rPr>
        <w:t>专、精、特、新</w:t>
      </w:r>
      <w:r>
        <w:rPr>
          <w:rFonts w:hint="eastAsia" w:ascii="仿宋_GB2312" w:hAnsi="仿宋_GB2312" w:eastAsia="仿宋_GB2312" w:cs="仿宋_GB2312"/>
          <w:color w:val="auto"/>
          <w:kern w:val="2"/>
          <w:sz w:val="30"/>
          <w:szCs w:val="30"/>
          <w:lang w:val="en-US" w:eastAsia="zh-CN" w:bidi="ar-SA"/>
        </w:rPr>
        <w:t>”中小企业，引导中小企业向产业龙头集聚，形成龙头企业带动、中小企业协作配套的集群化发展局面。</w:t>
      </w:r>
    </w:p>
    <w:p>
      <w:pPr>
        <w:pStyle w:val="5"/>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color w:val="auto"/>
          <w:sz w:val="32"/>
          <w:szCs w:val="32"/>
          <w:lang w:val="en-US" w:eastAsia="zh-CN"/>
        </w:rPr>
      </w:pPr>
      <w:bookmarkStart w:id="79" w:name="_Toc31758"/>
      <w:bookmarkStart w:id="80" w:name="_Toc1000296306"/>
      <w:bookmarkStart w:id="81" w:name="_Toc24889"/>
      <w:r>
        <w:rPr>
          <w:rFonts w:hint="eastAsia" w:ascii="仿宋" w:hAnsi="仿宋" w:eastAsia="仿宋" w:cs="仿宋"/>
          <w:color w:val="auto"/>
          <w:sz w:val="32"/>
          <w:szCs w:val="32"/>
          <w:lang w:val="en-US" w:eastAsia="zh-CN"/>
        </w:rPr>
        <w:t>(三)园区集聚、协同发展</w:t>
      </w:r>
      <w:bookmarkEnd w:id="79"/>
      <w:bookmarkEnd w:id="80"/>
      <w:bookmarkEnd w:id="81"/>
    </w:p>
    <w:p>
      <w:pPr>
        <w:pageBreakBefore w:val="0"/>
        <w:widowControl w:val="0"/>
        <w:tabs>
          <w:tab w:val="left" w:pos="2628"/>
        </w:tabs>
        <w:kinsoku/>
        <w:wordWrap/>
        <w:overflowPunct/>
        <w:topLinePunct w:val="0"/>
        <w:autoSpaceDE/>
        <w:autoSpaceDN/>
        <w:bidi w:val="0"/>
        <w:adjustRightInd/>
        <w:snapToGrid/>
        <w:spacing w:line="560" w:lineRule="exact"/>
        <w:ind w:firstLine="600" w:firstLineChars="200"/>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0"/>
          <w:szCs w:val="30"/>
          <w:lang w:val="en-US" w:eastAsia="zh-CN"/>
        </w:rPr>
        <w:t>优化产业布局，整合资源要素，完善基础设施，推动重点企业壮大完善工业集中区基础设施建设，积极承接中东部产业转移，引导各类工业园区和产业基地突出发展主导产业，以错位发展促差异发展、特色发展，努力实现区域协同发展。强化中小企业协作配套，引领重点产业发展，培育区域产业竞争力。</w:t>
      </w:r>
    </w:p>
    <w:p>
      <w:pPr>
        <w:pStyle w:val="5"/>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color w:val="auto"/>
          <w:sz w:val="32"/>
          <w:szCs w:val="32"/>
          <w:lang w:val="en-US" w:eastAsia="zh-CN"/>
        </w:rPr>
      </w:pPr>
      <w:bookmarkStart w:id="82" w:name="_Toc1285315827"/>
      <w:bookmarkStart w:id="83" w:name="_Toc7614"/>
      <w:bookmarkStart w:id="84" w:name="_Toc30786"/>
      <w:r>
        <w:rPr>
          <w:rFonts w:hint="eastAsia" w:ascii="仿宋" w:hAnsi="仿宋" w:eastAsia="仿宋" w:cs="仿宋"/>
          <w:color w:val="auto"/>
          <w:sz w:val="32"/>
          <w:szCs w:val="32"/>
          <w:lang w:val="en-US" w:eastAsia="zh-CN"/>
        </w:rPr>
        <w:t>(四)节能低碳、绿色发展</w:t>
      </w:r>
      <w:bookmarkEnd w:id="82"/>
      <w:bookmarkEnd w:id="83"/>
      <w:bookmarkEnd w:id="84"/>
    </w:p>
    <w:p>
      <w:pPr>
        <w:pageBreakBefore w:val="0"/>
        <w:widowControl w:val="0"/>
        <w:tabs>
          <w:tab w:val="left" w:pos="2812"/>
        </w:tabs>
        <w:kinsoku/>
        <w:wordWrap/>
        <w:overflowPunct/>
        <w:topLinePunct w:val="0"/>
        <w:autoSpaceDE/>
        <w:autoSpaceDN/>
        <w:bidi w:val="0"/>
        <w:adjustRightInd/>
        <w:snapToGrid/>
        <w:spacing w:line="560" w:lineRule="exact"/>
        <w:ind w:firstLine="600" w:firstLineChars="200"/>
        <w:jc w:val="left"/>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把发展资源节约型、环境友好型工业作为转型升级的重要着力点，突出节能降耗，加强节能环保技术、工艺、装备推广应用，全面推行绿色低碳生产，降低主要污染物排放强度，发展循环经济，提高资源回收利用率，增强企业可持续发展能力。继续化解过剩产能、淘汰落后产能，为先进产能更好发展腾出土地、资源、环境和市场空间。</w:t>
      </w:r>
    </w:p>
    <w:p>
      <w:pPr>
        <w:pStyle w:val="5"/>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color w:val="auto"/>
          <w:sz w:val="32"/>
          <w:szCs w:val="32"/>
          <w:lang w:val="en-US" w:eastAsia="zh-CN"/>
        </w:rPr>
      </w:pPr>
      <w:bookmarkStart w:id="85" w:name="_Toc3170"/>
      <w:bookmarkStart w:id="86" w:name="_Toc813822913"/>
      <w:bookmarkStart w:id="87" w:name="_Toc25740"/>
      <w:r>
        <w:rPr>
          <w:rFonts w:hint="eastAsia" w:ascii="仿宋" w:hAnsi="仿宋" w:eastAsia="仿宋" w:cs="仿宋"/>
          <w:color w:val="auto"/>
          <w:sz w:val="32"/>
          <w:szCs w:val="32"/>
          <w:lang w:val="en-US" w:eastAsia="zh-CN"/>
        </w:rPr>
        <w:t>(五)承接引进、开放发展</w:t>
      </w:r>
      <w:bookmarkEnd w:id="85"/>
      <w:bookmarkEnd w:id="86"/>
      <w:bookmarkEnd w:id="87"/>
    </w:p>
    <w:p>
      <w:pPr>
        <w:pageBreakBefore w:val="0"/>
        <w:widowControl w:val="0"/>
        <w:tabs>
          <w:tab w:val="left" w:pos="2428"/>
        </w:tabs>
        <w:kinsoku/>
        <w:wordWrap/>
        <w:overflowPunct/>
        <w:topLinePunct w:val="0"/>
        <w:autoSpaceDE/>
        <w:autoSpaceDN/>
        <w:bidi w:val="0"/>
        <w:adjustRightInd/>
        <w:snapToGrid/>
        <w:spacing w:line="560" w:lineRule="exact"/>
        <w:ind w:firstLine="600" w:firstLineChars="200"/>
        <w:jc w:val="left"/>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kern w:val="2"/>
          <w:sz w:val="30"/>
          <w:szCs w:val="30"/>
          <w:lang w:val="en-US" w:eastAsia="zh-CN" w:bidi="ar-SA"/>
        </w:rPr>
        <w:t>充分发挥我县区位地缘优势、资源禀赋优势和产业基础优势，抓住“一带一路”等重大战略机遇，主动而为，引进企业和技术，承接产业转移。坚持引进来、走出去相结合，拓展对内对外开放新空间，提升开放水平，在更高层次上参与地区产业分工，打造开放经济发展新优势。</w:t>
      </w:r>
    </w:p>
    <w:p>
      <w:pPr>
        <w:pStyle w:val="4"/>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 w:hAnsi="楷体" w:eastAsia="楷体" w:cs="楷体"/>
          <w:color w:val="auto"/>
          <w:sz w:val="32"/>
          <w:szCs w:val="32"/>
          <w:lang w:val="en-US" w:eastAsia="zh-CN"/>
        </w:rPr>
      </w:pPr>
      <w:bookmarkStart w:id="88" w:name="_Toc21198"/>
      <w:bookmarkStart w:id="89" w:name="_Toc16517"/>
      <w:bookmarkStart w:id="90" w:name="_Toc8386"/>
      <w:bookmarkStart w:id="91" w:name="_Toc1258539154"/>
      <w:bookmarkStart w:id="92" w:name="_Toc22764"/>
      <w:bookmarkStart w:id="93" w:name="_Toc28376"/>
      <w:bookmarkStart w:id="94" w:name="_Toc15817"/>
      <w:r>
        <w:rPr>
          <w:rFonts w:hint="eastAsia" w:ascii="楷体" w:hAnsi="楷体" w:eastAsia="楷体" w:cs="楷体"/>
          <w:color w:val="auto"/>
          <w:sz w:val="32"/>
          <w:szCs w:val="32"/>
          <w:lang w:val="en-US" w:eastAsia="zh-CN"/>
        </w:rPr>
        <w:t>三、发展目标</w:t>
      </w:r>
      <w:bookmarkEnd w:id="88"/>
      <w:bookmarkEnd w:id="89"/>
      <w:bookmarkEnd w:id="90"/>
      <w:bookmarkEnd w:id="91"/>
      <w:bookmarkEnd w:id="92"/>
      <w:bookmarkEnd w:id="93"/>
      <w:bookmarkEnd w:id="94"/>
    </w:p>
    <w:p>
      <w:pPr>
        <w:pStyle w:val="5"/>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color w:val="auto"/>
          <w:sz w:val="32"/>
          <w:szCs w:val="32"/>
          <w:lang w:val="en-US" w:eastAsia="zh-CN"/>
        </w:rPr>
      </w:pPr>
      <w:bookmarkStart w:id="95" w:name="_Toc2997"/>
      <w:bookmarkStart w:id="96" w:name="_Toc1556487522"/>
      <w:bookmarkStart w:id="97" w:name="_Toc31812"/>
      <w:r>
        <w:rPr>
          <w:rFonts w:hint="eastAsia" w:ascii="仿宋" w:hAnsi="仿宋" w:eastAsia="仿宋" w:cs="仿宋"/>
          <w:color w:val="auto"/>
          <w:sz w:val="32"/>
          <w:szCs w:val="32"/>
          <w:lang w:val="en-US" w:eastAsia="zh-CN"/>
        </w:rPr>
        <w:t>(一)总量规模目标</w:t>
      </w:r>
      <w:bookmarkEnd w:id="95"/>
      <w:bookmarkEnd w:id="96"/>
      <w:bookmarkEnd w:id="97"/>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b w:val="0"/>
          <w:bCs w:val="0"/>
          <w:color w:val="000000" w:themeColor="text1"/>
          <w:kern w:val="0"/>
          <w:sz w:val="30"/>
          <w:szCs w:val="30"/>
          <w:highlight w:val="none"/>
          <w:u w:val="none"/>
          <w:lang w:val="en-US" w:eastAsia="zh-CN" w:bidi="ar"/>
          <w14:textFill>
            <w14:solidFill>
              <w14:schemeClr w14:val="tx1"/>
            </w14:solidFill>
          </w14:textFill>
        </w:rPr>
        <w:t>“奋力担当先行区建设排头兵，高质量建设富裕美丽新平罗”是县委对全县人民作出的庄严承诺，必须以新发展理念为引领，聚焦“七个明显”的奋斗目标，紧扣“1233”的方向路径和战略任务，</w:t>
      </w:r>
      <w:r>
        <w:rPr>
          <w:rFonts w:hint="eastAsia" w:ascii="仿宋_GB2312" w:hAnsi="仿宋_GB2312" w:eastAsia="仿宋_GB2312" w:cs="仿宋_GB2312"/>
          <w:color w:val="000000" w:themeColor="text1"/>
          <w:sz w:val="30"/>
          <w:szCs w:val="30"/>
          <w:lang w:val="en-US" w:eastAsia="zh-CN"/>
          <w14:textFill>
            <w14:solidFill>
              <w14:schemeClr w14:val="tx1"/>
            </w14:solidFill>
          </w14:textFill>
        </w:rPr>
        <w:t>到2025年，力争全县规上工业实现产值1000亿元左右，规上工业增加值年均增长10%以上</w:t>
      </w:r>
      <w:r>
        <w:rPr>
          <w:rFonts w:hint="eastAsia" w:ascii="仿宋_GB2312" w:hAnsi="仿宋_GB2312" w:eastAsia="仿宋_GB2312" w:cs="仿宋_GB2312"/>
          <w:color w:val="auto"/>
          <w:sz w:val="30"/>
          <w:szCs w:val="30"/>
          <w:lang w:val="en-US" w:eastAsia="zh-CN"/>
        </w:rPr>
        <w:t>，工业技改投资年均增长10%，工业绿色化智能化改造投资年均增长5%。</w:t>
      </w:r>
    </w:p>
    <w:p>
      <w:pPr>
        <w:pStyle w:val="5"/>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color w:val="auto"/>
          <w:sz w:val="32"/>
          <w:szCs w:val="32"/>
          <w:lang w:val="en-US" w:eastAsia="zh-CN"/>
        </w:rPr>
      </w:pPr>
      <w:bookmarkStart w:id="98" w:name="_Toc13039"/>
      <w:bookmarkStart w:id="99" w:name="_Toc19524"/>
      <w:bookmarkStart w:id="100" w:name="_Toc141612861"/>
      <w:r>
        <w:rPr>
          <w:rFonts w:hint="eastAsia" w:ascii="仿宋" w:hAnsi="仿宋" w:eastAsia="仿宋" w:cs="仿宋"/>
          <w:color w:val="auto"/>
          <w:sz w:val="32"/>
          <w:szCs w:val="32"/>
          <w:lang w:val="en-US" w:eastAsia="zh-CN"/>
        </w:rPr>
        <w:t>(二)产业发展目标</w:t>
      </w:r>
      <w:bookmarkEnd w:id="98"/>
      <w:bookmarkEnd w:id="99"/>
      <w:bookmarkEnd w:id="100"/>
    </w:p>
    <w:p>
      <w:pPr>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坚持工业强县战略不动摇。工业兴则经济兴，工业强则实力强。当前和今后一个时期，要以先行区建设为统领，紧扣工业转型目标，坚决落实能耗“双控”任务，积极推进绿能开发、绿氢生产、绿色发展“三绿”导向，深入实施结构、绿色、技术、智能“四大改造”行动，扎实做好“调、转、控、引、培”五篇文章，重点发展新材料、新能源、新装备、新数字、新医药、新食品“六新”产业，推动工业发展质量变革、效率变革、动力变革。加快构建以“新材料、绿色氰胺、先进装备制造”三大产业集群为主导，以“清洁能源”为配套的生态型工业体系,推动工业集群化发展，加快工业大县向工业强县转变。新材料以“新型合金材料、高端化工材料、前沿新材料”等产业分支为突破，做实做强新材料产业。推动传统合金产品加速迭代升级，进一步发展电池储能新材料、晶硅、碳基新材料、偶联剂等新材料产品及高端化工材料。到2025年，打造800亿级新材料产业集群。绿色氰胺以延伸产业链为核心，以电石化工、精细化工为基础，开发下游高端新产品，打造世界绿色“氰胺之都”。到2025年，绿色氰胺产业总产值达到150亿元。装备制造产业重点发展高端轮胎、精密铸件、管材管件等高端新产品，提高附加值，增强竞争力，大力拓展控制系统、工业机器人、关键零部件、智慧农机、关键电力设备等机械装备终端新产品。到2025年，先进新装备制造业总产值达到50亿元。清洁能源以发展光伏、风电、氢能等产业成为新能源生产消费增长的主体，增加新能源等清洁能源比例，形成清洁火电、风电和光电融合发展格局。</w:t>
      </w:r>
    </w:p>
    <w:p>
      <w:pPr>
        <w:pStyle w:val="5"/>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color w:val="auto"/>
          <w:sz w:val="32"/>
          <w:szCs w:val="32"/>
          <w:lang w:val="en-US" w:eastAsia="zh-CN"/>
        </w:rPr>
      </w:pPr>
      <w:bookmarkStart w:id="101" w:name="_Toc15323"/>
      <w:bookmarkStart w:id="102" w:name="_Toc17877"/>
      <w:bookmarkStart w:id="103" w:name="_Toc1821630583"/>
      <w:r>
        <w:rPr>
          <w:rFonts w:hint="eastAsia" w:ascii="仿宋" w:hAnsi="仿宋" w:eastAsia="仿宋" w:cs="仿宋"/>
          <w:color w:val="auto"/>
          <w:sz w:val="32"/>
          <w:szCs w:val="32"/>
          <w:lang w:val="en-US" w:eastAsia="zh-CN"/>
        </w:rPr>
        <w:t>(三)园区建设目标</w:t>
      </w:r>
      <w:bookmarkEnd w:id="101"/>
      <w:bookmarkEnd w:id="102"/>
      <w:bookmarkEnd w:id="103"/>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00" w:firstLineChars="200"/>
        <w:jc w:val="both"/>
        <w:textAlignment w:val="auto"/>
        <w:outlineLvl w:val="9"/>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根据国家及区、</w:t>
      </w:r>
      <w:r>
        <w:rPr>
          <w:rFonts w:hint="eastAsia" w:ascii="仿宋_GB2312" w:hAnsi="仿宋_GB2312" w:eastAsia="仿宋_GB2312" w:cs="仿宋_GB2312"/>
          <w:color w:val="auto"/>
          <w:sz w:val="30"/>
          <w:szCs w:val="30"/>
          <w:lang w:eastAsia="zh-CN"/>
        </w:rPr>
        <w:t>市</w:t>
      </w:r>
      <w:r>
        <w:rPr>
          <w:rFonts w:hint="eastAsia" w:ascii="仿宋_GB2312" w:hAnsi="仿宋_GB2312" w:eastAsia="仿宋_GB2312" w:cs="仿宋_GB2312"/>
          <w:color w:val="auto"/>
          <w:sz w:val="30"/>
          <w:szCs w:val="30"/>
        </w:rPr>
        <w:t>、县相关政策导向，落实上位规划的定位要求与方向指引，充分结合平罗工业园区的资源禀赋、产业基础与环境容量等现实条件，并考虑未来发展趋势与需求，集中力量壮大园区产业集群，形成鲜明的产业特色，打造竞争力强的优势产业。</w:t>
      </w:r>
    </w:p>
    <w:p>
      <w:pPr>
        <w:pStyle w:val="2"/>
        <w:rPr>
          <w:rFonts w:hint="eastAsia"/>
        </w:rPr>
      </w:pPr>
    </w:p>
    <w:p>
      <w:pPr>
        <w:pStyle w:val="20"/>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lang w:eastAsia="zh-CN"/>
        </w:rPr>
        <w:drawing>
          <wp:inline distT="0" distB="0" distL="114300" distR="114300">
            <wp:extent cx="3858260" cy="3402965"/>
            <wp:effectExtent l="0" t="0" r="8890" b="6985"/>
            <wp:docPr id="7" name="图片 7" descr="db17e4169c501d74cfaea1b796a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b17e4169c501d74cfaea1b796a1093"/>
                    <pic:cNvPicPr>
                      <a:picLocks noChangeAspect="1"/>
                    </pic:cNvPicPr>
                  </pic:nvPicPr>
                  <pic:blipFill>
                    <a:blip r:embed="rId6"/>
                    <a:stretch>
                      <a:fillRect/>
                    </a:stretch>
                  </pic:blipFill>
                  <pic:spPr>
                    <a:xfrm>
                      <a:off x="0" y="0"/>
                      <a:ext cx="3858260" cy="3402965"/>
                    </a:xfrm>
                    <a:prstGeom prst="rect">
                      <a:avLst/>
                    </a:prstGeom>
                  </pic:spPr>
                </pic:pic>
              </a:graphicData>
            </a:graphic>
          </wp:inline>
        </w:drawing>
      </w:r>
    </w:p>
    <w:p>
      <w:pPr>
        <w:ind w:firstLine="2520" w:firstLineChars="1200"/>
        <w:rPr>
          <w:rFonts w:hint="eastAsia" w:ascii="宋体" w:hAnsi="宋体" w:eastAsia="宋体"/>
          <w:color w:val="auto"/>
        </w:rPr>
      </w:pPr>
      <w:r>
        <w:rPr>
          <w:rFonts w:hint="eastAsia" w:ascii="宋体" w:hAnsi="宋体" w:eastAsia="宋体"/>
          <w:color w:val="auto"/>
        </w:rPr>
        <w:t xml:space="preserve">图 </w:t>
      </w:r>
      <w:r>
        <w:rPr>
          <w:rFonts w:hint="eastAsia" w:ascii="宋体" w:hAnsi="宋体" w:eastAsia="宋体"/>
          <w:color w:val="auto"/>
        </w:rPr>
        <w:fldChar w:fldCharType="begin"/>
      </w:r>
      <w:r>
        <w:rPr>
          <w:rFonts w:hint="eastAsia" w:ascii="宋体" w:hAnsi="宋体" w:eastAsia="宋体"/>
          <w:color w:val="auto"/>
        </w:rPr>
        <w:instrText xml:space="preserve"> STYLEREF 1 \s </w:instrText>
      </w:r>
      <w:r>
        <w:rPr>
          <w:rFonts w:hint="eastAsia" w:ascii="宋体" w:hAnsi="宋体" w:eastAsia="宋体"/>
          <w:color w:val="auto"/>
        </w:rPr>
        <w:fldChar w:fldCharType="separate"/>
      </w:r>
      <w:r>
        <w:rPr>
          <w:rFonts w:ascii="宋体" w:hAnsi="宋体" w:eastAsia="宋体"/>
          <w:color w:val="auto"/>
        </w:rPr>
        <w:t>2</w:t>
      </w:r>
      <w:r>
        <w:rPr>
          <w:rFonts w:hint="eastAsia" w:ascii="宋体" w:hAnsi="宋体" w:eastAsia="宋体"/>
          <w:color w:val="auto"/>
        </w:rPr>
        <w:fldChar w:fldCharType="end"/>
      </w:r>
      <w:r>
        <w:rPr>
          <w:rFonts w:hint="eastAsia" w:ascii="宋体" w:hAnsi="宋体" w:eastAsia="宋体"/>
          <w:color w:val="auto"/>
        </w:rPr>
        <w:noBreakHyphen/>
      </w:r>
      <w:r>
        <w:rPr>
          <w:rFonts w:hint="eastAsia" w:ascii="宋体" w:hAnsi="宋体" w:eastAsia="宋体"/>
          <w:color w:val="auto"/>
        </w:rPr>
        <w:fldChar w:fldCharType="begin"/>
      </w:r>
      <w:r>
        <w:rPr>
          <w:rFonts w:hint="eastAsia" w:ascii="宋体" w:hAnsi="宋体" w:eastAsia="宋体"/>
          <w:color w:val="auto"/>
        </w:rPr>
        <w:instrText xml:space="preserve"> SEQ 图 \* ARABIC \s 1 </w:instrText>
      </w:r>
      <w:r>
        <w:rPr>
          <w:rFonts w:hint="eastAsia" w:ascii="宋体" w:hAnsi="宋体" w:eastAsia="宋体"/>
          <w:color w:val="auto"/>
        </w:rPr>
        <w:fldChar w:fldCharType="separate"/>
      </w:r>
      <w:r>
        <w:rPr>
          <w:rFonts w:ascii="宋体" w:hAnsi="宋体" w:eastAsia="宋体"/>
          <w:color w:val="auto"/>
        </w:rPr>
        <w:t>1</w:t>
      </w:r>
      <w:r>
        <w:rPr>
          <w:rFonts w:hint="eastAsia" w:ascii="宋体" w:hAnsi="宋体" w:eastAsia="宋体"/>
          <w:color w:val="auto"/>
        </w:rPr>
        <w:fldChar w:fldCharType="end"/>
      </w:r>
      <w:r>
        <w:rPr>
          <w:rFonts w:hint="eastAsia" w:ascii="宋体" w:hAnsi="宋体" w:eastAsia="宋体"/>
          <w:color w:val="auto"/>
        </w:rPr>
        <w:t>平罗工业园区区位关系图</w:t>
      </w:r>
    </w:p>
    <w:p>
      <w:pPr>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val="en-US" w:eastAsia="zh-CN"/>
        </w:rPr>
        <w:t xml:space="preserve">     </w:t>
      </w:r>
      <w:r>
        <w:rPr>
          <w:rFonts w:hint="eastAsia" w:ascii="仿宋_GB2312" w:hAnsi="仿宋_GB2312" w:eastAsia="仿宋_GB2312" w:cs="仿宋_GB2312"/>
          <w:color w:val="auto"/>
          <w:sz w:val="30"/>
          <w:szCs w:val="30"/>
          <w:lang w:eastAsia="zh-CN"/>
        </w:rPr>
        <w:drawing>
          <wp:inline distT="0" distB="0" distL="114300" distR="114300">
            <wp:extent cx="4391025" cy="3771900"/>
            <wp:effectExtent l="0" t="0" r="9525" b="0"/>
            <wp:docPr id="8" name="图片 8" descr="617b225f0a1d419076047fbefa5df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17b225f0a1d419076047fbefa5df9d"/>
                    <pic:cNvPicPr>
                      <a:picLocks noChangeAspect="1"/>
                    </pic:cNvPicPr>
                  </pic:nvPicPr>
                  <pic:blipFill>
                    <a:blip r:embed="rId7"/>
                    <a:stretch>
                      <a:fillRect/>
                    </a:stretch>
                  </pic:blipFill>
                  <pic:spPr>
                    <a:xfrm>
                      <a:off x="0" y="0"/>
                      <a:ext cx="4391025" cy="3771900"/>
                    </a:xfrm>
                    <a:prstGeom prst="rect">
                      <a:avLst/>
                    </a:prstGeom>
                  </pic:spPr>
                </pic:pic>
              </a:graphicData>
            </a:graphic>
          </wp:inline>
        </w:drawing>
      </w:r>
    </w:p>
    <w:p>
      <w:pPr>
        <w:bidi w:val="0"/>
        <w:ind w:firstLine="2310" w:firstLineChars="1100"/>
        <w:rPr>
          <w:rFonts w:hint="eastAsia" w:ascii="宋体" w:hAnsi="宋体" w:eastAsia="宋体" w:cs="宋体"/>
        </w:rPr>
      </w:pPr>
      <w:r>
        <w:rPr>
          <w:rFonts w:hint="eastAsia" w:ascii="宋体" w:hAnsi="宋体" w:eastAsia="宋体" w:cs="宋体"/>
          <w:lang w:eastAsia="zh-CN"/>
        </w:rPr>
        <w:t>图</w:t>
      </w:r>
      <w:r>
        <w:rPr>
          <w:rFonts w:hint="eastAsia" w:ascii="宋体" w:hAnsi="宋体" w:eastAsia="宋体" w:cs="宋体"/>
          <w:lang w:val="en-US" w:eastAsia="zh-CN"/>
        </w:rPr>
        <w:t xml:space="preserve"> </w:t>
      </w:r>
      <w:r>
        <w:rPr>
          <w:rFonts w:hint="eastAsia" w:ascii="宋体" w:hAnsi="宋体" w:eastAsia="宋体" w:cs="宋体"/>
        </w:rPr>
        <w:fldChar w:fldCharType="begin"/>
      </w:r>
      <w:r>
        <w:rPr>
          <w:rFonts w:hint="eastAsia" w:ascii="宋体" w:hAnsi="宋体" w:eastAsia="宋体" w:cs="宋体"/>
        </w:rPr>
        <w:instrText xml:space="preserve"> STYLEREF 1 \s </w:instrText>
      </w:r>
      <w:r>
        <w:rPr>
          <w:rFonts w:hint="eastAsia" w:ascii="宋体" w:hAnsi="宋体" w:eastAsia="宋体" w:cs="宋体"/>
        </w:rPr>
        <w:fldChar w:fldCharType="separate"/>
      </w:r>
      <w:r>
        <w:rPr>
          <w:rFonts w:hint="eastAsia" w:ascii="宋体" w:hAnsi="宋体" w:eastAsia="宋体" w:cs="宋体"/>
        </w:rPr>
        <w:t>2</w:t>
      </w:r>
      <w:r>
        <w:rPr>
          <w:rFonts w:hint="eastAsia" w:ascii="宋体" w:hAnsi="宋体" w:eastAsia="宋体" w:cs="宋体"/>
        </w:rPr>
        <w:fldChar w:fldCharType="end"/>
      </w:r>
      <w:r>
        <w:rPr>
          <w:rFonts w:hint="eastAsia" w:ascii="宋体" w:hAnsi="宋体" w:eastAsia="宋体" w:cs="宋体"/>
        </w:rPr>
        <w:noBreakHyphen/>
      </w:r>
      <w:r>
        <w:rPr>
          <w:rFonts w:hint="eastAsia" w:ascii="宋体" w:hAnsi="宋体" w:eastAsia="宋体" w:cs="宋体"/>
        </w:rPr>
        <w:t>2平罗工业园在平罗县区位示意图</w:t>
      </w:r>
    </w:p>
    <w:p>
      <w:pPr>
        <w:pageBreakBefore w:val="0"/>
        <w:widowControl w:val="0"/>
        <w:kinsoku/>
        <w:wordWrap/>
        <w:overflowPunct/>
        <w:topLinePunct w:val="0"/>
        <w:autoSpaceDE/>
        <w:autoSpaceDN/>
        <w:bidi w:val="0"/>
        <w:adjustRightInd/>
        <w:snapToGrid/>
        <w:spacing w:line="560" w:lineRule="exact"/>
        <w:ind w:firstLine="602" w:firstLineChars="200"/>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b/>
          <w:bCs/>
          <w:color w:val="auto"/>
          <w:sz w:val="30"/>
          <w:szCs w:val="30"/>
          <w:lang w:eastAsia="zh-CN"/>
        </w:rPr>
        <w:t>太西</w:t>
      </w:r>
      <w:r>
        <w:rPr>
          <w:rFonts w:hint="eastAsia" w:ascii="仿宋_GB2312" w:hAnsi="仿宋_GB2312" w:eastAsia="仿宋_GB2312" w:cs="仿宋_GB2312"/>
          <w:b/>
          <w:bCs/>
          <w:color w:val="auto"/>
          <w:sz w:val="30"/>
          <w:szCs w:val="30"/>
        </w:rPr>
        <w:t>园</w:t>
      </w:r>
      <w:r>
        <w:rPr>
          <w:rFonts w:hint="eastAsia" w:ascii="仿宋_GB2312" w:hAnsi="仿宋_GB2312" w:eastAsia="仿宋_GB2312" w:cs="仿宋_GB2312"/>
          <w:color w:val="auto"/>
          <w:sz w:val="30"/>
          <w:szCs w:val="30"/>
        </w:rPr>
        <w:t>：太西园主要依托大地集团、贝利特化学股份有限公司等重点企业，加大产业改造升级力度，加快延伸产业链条，积极开发电石化工下游新产品，</w:t>
      </w:r>
      <w:r>
        <w:rPr>
          <w:rFonts w:hint="eastAsia" w:ascii="仿宋_GB2312" w:hAnsi="仿宋_GB2312" w:eastAsia="仿宋_GB2312" w:cs="仿宋_GB2312"/>
          <w:color w:val="auto"/>
          <w:sz w:val="30"/>
          <w:szCs w:val="30"/>
          <w:lang w:eastAsia="zh-CN"/>
        </w:rPr>
        <w:t>氰胺</w:t>
      </w:r>
      <w:r>
        <w:rPr>
          <w:rFonts w:hint="eastAsia" w:ascii="仿宋_GB2312" w:hAnsi="仿宋_GB2312" w:eastAsia="仿宋_GB2312" w:cs="仿宋_GB2312"/>
          <w:color w:val="auto"/>
          <w:sz w:val="30"/>
          <w:szCs w:val="30"/>
        </w:rPr>
        <w:t>产业衍生品，</w:t>
      </w:r>
      <w:r>
        <w:rPr>
          <w:rFonts w:hint="eastAsia" w:ascii="仿宋_GB2312" w:hAnsi="仿宋_GB2312" w:eastAsia="仿宋_GB2312" w:cs="仿宋_GB2312"/>
          <w:color w:val="auto"/>
          <w:sz w:val="30"/>
          <w:szCs w:val="30"/>
          <w:lang w:val="en-US" w:eastAsia="zh-CN"/>
        </w:rPr>
        <w:t>推动</w:t>
      </w:r>
      <w:r>
        <w:rPr>
          <w:rFonts w:hint="eastAsia" w:ascii="仿宋_GB2312" w:hAnsi="仿宋_GB2312" w:eastAsia="仿宋_GB2312" w:cs="仿宋_GB2312"/>
          <w:b w:val="0"/>
          <w:bCs w:val="0"/>
          <w:color w:val="auto"/>
          <w:sz w:val="30"/>
          <w:szCs w:val="30"/>
          <w:lang w:val="en-US" w:eastAsia="zh-CN"/>
        </w:rPr>
        <w:t>太西园打造绿色氰胺、特殊合金、高端碳材、绿色食品加工和能源乙醇生产基地。</w:t>
      </w:r>
      <w:r>
        <w:rPr>
          <w:rFonts w:hint="eastAsia" w:ascii="仿宋_GB2312" w:hAnsi="仿宋_GB2312" w:eastAsia="仿宋_GB2312" w:cs="仿宋_GB2312"/>
          <w:color w:val="auto"/>
          <w:sz w:val="30"/>
          <w:szCs w:val="30"/>
        </w:rPr>
        <w:t>依托晟晏能源、吉元冶金集团等企业，重点发展特色冶金产品，加速行业技术改造和产品结构优化调整，稳步建成区内重要特色冶金材料生产集聚区。鼓励支持滨河新材料等新兴企业充分发挥技术基础优势，推进技术产品研发与循环生产，做大做强新材料、先进制造等新兴产业。充分利用区、市关于鼓励发展中小企业、创新型企业、科技型企业扶持政策，重点支持中粮米业、汇源果汁等发展潜力强劲企业，带头开展技术、产品、管理、商业模式创新，不断做精做细做深轻工产业。</w:t>
      </w:r>
    </w:p>
    <w:p>
      <w:pPr>
        <w:pageBreakBefore w:val="0"/>
        <w:widowControl w:val="0"/>
        <w:kinsoku/>
        <w:wordWrap/>
        <w:overflowPunct/>
        <w:topLinePunct w:val="0"/>
        <w:autoSpaceDE/>
        <w:autoSpaceDN/>
        <w:bidi w:val="0"/>
        <w:adjustRightInd/>
        <w:snapToGrid/>
        <w:spacing w:line="560" w:lineRule="exact"/>
        <w:ind w:firstLine="602" w:firstLineChars="200"/>
        <w:textAlignment w:val="auto"/>
        <w:rPr>
          <w:rFonts w:hint="eastAsia"/>
          <w:color w:val="auto"/>
          <w:lang w:val="en-US" w:eastAsia="zh-CN"/>
        </w:rPr>
      </w:pPr>
      <w:r>
        <w:rPr>
          <w:rFonts w:hint="eastAsia" w:ascii="仿宋_GB2312" w:hAnsi="仿宋_GB2312" w:eastAsia="仿宋_GB2312" w:cs="仿宋_GB2312"/>
          <w:b/>
          <w:bCs/>
          <w:color w:val="auto"/>
          <w:sz w:val="30"/>
          <w:szCs w:val="30"/>
          <w:lang w:eastAsia="zh-CN"/>
        </w:rPr>
        <w:t>红崖子</w:t>
      </w:r>
      <w:r>
        <w:rPr>
          <w:rFonts w:hint="eastAsia" w:ascii="仿宋_GB2312" w:hAnsi="仿宋_GB2312" w:eastAsia="仿宋_GB2312" w:cs="仿宋_GB2312"/>
          <w:b/>
          <w:bCs/>
          <w:color w:val="auto"/>
          <w:sz w:val="30"/>
          <w:szCs w:val="30"/>
        </w:rPr>
        <w:t>园</w:t>
      </w:r>
      <w:r>
        <w:rPr>
          <w:rFonts w:hint="eastAsia" w:ascii="仿宋_GB2312" w:hAnsi="仿宋_GB2312" w:eastAsia="仿宋_GB2312" w:cs="仿宋_GB2312"/>
          <w:color w:val="auto"/>
          <w:sz w:val="30"/>
          <w:szCs w:val="30"/>
        </w:rPr>
        <w:t>：红崖子园以康德权、思科达重点企业为引领，通过引进新装备、改进生产线、延长产业链等方式，优化现有新型煤化工、发展精细化工等产业。以发展</w:t>
      </w:r>
      <w:r>
        <w:rPr>
          <w:rFonts w:hint="eastAsia" w:ascii="仿宋_GB2312" w:hAnsi="仿宋_GB2312" w:eastAsia="仿宋_GB2312" w:cs="仿宋_GB2312"/>
          <w:color w:val="auto"/>
          <w:sz w:val="30"/>
          <w:szCs w:val="30"/>
          <w:lang w:eastAsia="zh-CN"/>
        </w:rPr>
        <w:t>氰胺</w:t>
      </w:r>
      <w:r>
        <w:rPr>
          <w:rFonts w:hint="eastAsia" w:ascii="仿宋_GB2312" w:hAnsi="仿宋_GB2312" w:eastAsia="仿宋_GB2312" w:cs="仿宋_GB2312"/>
          <w:color w:val="auto"/>
          <w:sz w:val="30"/>
          <w:szCs w:val="30"/>
        </w:rPr>
        <w:t>化工及下游中间体、农药及土壤改良剂等比较优势产业为基础，通过吸收消化再创新一批髙技术含量、高附加值、有产业化前景的新技术精细化工产品，进一步延伸产业链，培育壮大精细化工产业，形成产业集聚效应</w:t>
      </w:r>
      <w:r>
        <w:rPr>
          <w:rFonts w:hint="eastAsia" w:ascii="仿宋_GB2312" w:hAnsi="仿宋_GB2312" w:eastAsia="仿宋_GB2312" w:cs="仿宋_GB2312"/>
          <w:color w:val="auto"/>
          <w:sz w:val="30"/>
          <w:szCs w:val="30"/>
          <w:lang w:val="en-US" w:eastAsia="zh-CN"/>
        </w:rPr>
        <w:t>,</w:t>
      </w:r>
      <w:r>
        <w:rPr>
          <w:rFonts w:hint="eastAsia" w:ascii="仿宋_GB2312" w:hAnsi="仿宋_GB2312" w:eastAsia="仿宋_GB2312" w:cs="仿宋_GB2312"/>
          <w:b w:val="0"/>
          <w:bCs w:val="0"/>
          <w:color w:val="auto"/>
          <w:sz w:val="30"/>
          <w:szCs w:val="30"/>
          <w:lang w:val="en-US" w:eastAsia="zh-CN"/>
        </w:rPr>
        <w:t>打造绿色化学品产业园</w:t>
      </w:r>
      <w:r>
        <w:rPr>
          <w:rFonts w:hint="eastAsia" w:ascii="仿宋_GB2312" w:hAnsi="仿宋_GB2312" w:eastAsia="仿宋_GB2312" w:cs="仿宋_GB2312"/>
          <w:b/>
          <w:bCs/>
          <w:color w:val="auto"/>
          <w:sz w:val="30"/>
          <w:szCs w:val="30"/>
          <w:lang w:val="en-US" w:eastAsia="zh-CN"/>
        </w:rPr>
        <w:t>。</w:t>
      </w:r>
      <w:r>
        <w:rPr>
          <w:rFonts w:hint="eastAsia" w:ascii="仿宋_GB2312" w:hAnsi="仿宋_GB2312" w:eastAsia="仿宋_GB2312" w:cs="仿宋_GB2312"/>
          <w:color w:val="auto"/>
          <w:sz w:val="30"/>
          <w:szCs w:val="30"/>
        </w:rPr>
        <w:t>依托要素优势，配套完善焦炭化产配套产品，形成产业协同效应，有效降低生产成本。</w:t>
      </w:r>
      <w:r>
        <w:rPr>
          <w:rFonts w:hint="eastAsia" w:ascii="宋体" w:hAnsi="宋体" w:eastAsia="宋体" w:cs="Times New Roman"/>
          <w:color w:val="auto"/>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602" w:firstLineChars="200"/>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b/>
          <w:bCs/>
          <w:color w:val="auto"/>
          <w:sz w:val="30"/>
          <w:szCs w:val="30"/>
          <w:lang w:eastAsia="zh-CN"/>
        </w:rPr>
        <w:t>崇岗</w:t>
      </w:r>
      <w:r>
        <w:rPr>
          <w:rFonts w:hint="eastAsia" w:ascii="仿宋_GB2312" w:hAnsi="仿宋_GB2312" w:eastAsia="仿宋_GB2312" w:cs="仿宋_GB2312"/>
          <w:b/>
          <w:bCs/>
          <w:color w:val="auto"/>
          <w:sz w:val="30"/>
          <w:szCs w:val="30"/>
        </w:rPr>
        <w:t>园</w:t>
      </w:r>
      <w:r>
        <w:rPr>
          <w:rFonts w:hint="eastAsia" w:ascii="仿宋_GB2312" w:hAnsi="仿宋_GB2312" w:eastAsia="仿宋_GB2312" w:cs="仿宋_GB2312"/>
          <w:color w:val="auto"/>
          <w:sz w:val="30"/>
          <w:szCs w:val="30"/>
        </w:rPr>
        <w:t>：崇岗园按照</w:t>
      </w:r>
      <w:r>
        <w:rPr>
          <w:rFonts w:hint="eastAsia" w:ascii="仿宋_GB2312" w:hAnsi="仿宋_GB2312" w:eastAsia="仿宋_GB2312" w:cs="仿宋_GB2312"/>
          <w:color w:val="auto"/>
          <w:sz w:val="30"/>
          <w:szCs w:val="30"/>
          <w:lang w:val="zh-CN"/>
        </w:rPr>
        <w:t>“产业</w:t>
      </w:r>
      <w:r>
        <w:rPr>
          <w:rFonts w:hint="eastAsia" w:ascii="仿宋_GB2312" w:hAnsi="仿宋_GB2312" w:eastAsia="仿宋_GB2312" w:cs="仿宋_GB2312"/>
          <w:color w:val="auto"/>
          <w:sz w:val="30"/>
          <w:szCs w:val="30"/>
        </w:rPr>
        <w:t>聚集、布局集中、用地集约、循环经济</w:t>
      </w:r>
      <w:r>
        <w:rPr>
          <w:rFonts w:hint="eastAsia" w:ascii="仿宋_GB2312" w:hAnsi="仿宋_GB2312" w:eastAsia="仿宋_GB2312" w:cs="仿宋_GB2312"/>
          <w:color w:val="auto"/>
          <w:sz w:val="30"/>
          <w:szCs w:val="30"/>
          <w:lang w:val="zh-CN"/>
        </w:rPr>
        <w:t>”</w:t>
      </w:r>
      <w:r>
        <w:rPr>
          <w:rFonts w:hint="eastAsia" w:ascii="仿宋_GB2312" w:hAnsi="仿宋_GB2312" w:eastAsia="仿宋_GB2312" w:cs="仿宋_GB2312"/>
          <w:color w:val="auto"/>
          <w:sz w:val="30"/>
          <w:szCs w:val="30"/>
        </w:rPr>
        <w:t>的原则在相应产业功能区进行功能划分和产业布局。通过环境 整治，促进现有企业兼并、重组，淘汰</w:t>
      </w:r>
      <w:r>
        <w:rPr>
          <w:rFonts w:hint="eastAsia" w:ascii="仿宋_GB2312" w:hAnsi="仿宋_GB2312" w:eastAsia="仿宋_GB2312" w:cs="仿宋_GB2312"/>
          <w:color w:val="auto"/>
          <w:sz w:val="30"/>
          <w:szCs w:val="30"/>
          <w:lang w:val="zh-CN"/>
        </w:rPr>
        <w:t>“散、</w:t>
      </w:r>
      <w:r>
        <w:rPr>
          <w:rFonts w:hint="eastAsia" w:ascii="仿宋_GB2312" w:hAnsi="仿宋_GB2312" w:eastAsia="仿宋_GB2312" w:cs="仿宋_GB2312"/>
          <w:color w:val="auto"/>
          <w:sz w:val="30"/>
          <w:szCs w:val="30"/>
        </w:rPr>
        <w:t>乱、污”和不合规企业，限制落后产能进入区块发展，使碳基材料产业聚集发展、企业转型升级，鼓励规划区内的企业积极进行技术改造提升工艺装备水平和高端碳基材料研发生产工艺技术，引进大型煤炭加工项目，</w:t>
      </w:r>
      <w:r>
        <w:rPr>
          <w:rFonts w:hint="eastAsia" w:ascii="仿宋_GB2312" w:hAnsi="仿宋_GB2312" w:eastAsia="仿宋_GB2312" w:cs="仿宋_GB2312"/>
          <w:color w:val="auto"/>
          <w:sz w:val="30"/>
          <w:szCs w:val="30"/>
          <w:lang w:eastAsia="zh-CN"/>
        </w:rPr>
        <w:t>加大</w:t>
      </w:r>
      <w:r>
        <w:rPr>
          <w:rFonts w:hint="eastAsia" w:ascii="仿宋_GB2312" w:hAnsi="仿宋_GB2312" w:eastAsia="仿宋_GB2312" w:cs="仿宋_GB2312"/>
          <w:color w:val="auto"/>
          <w:sz w:val="30"/>
          <w:szCs w:val="30"/>
        </w:rPr>
        <w:t>能源储备，将崇岗园打造成西部地区有影响、有特色的高端碳基材料研发生产基地。</w:t>
      </w:r>
    </w:p>
    <w:p>
      <w:pPr>
        <w:pStyle w:val="5"/>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color w:val="auto"/>
          <w:sz w:val="32"/>
          <w:szCs w:val="32"/>
          <w:lang w:val="en-US" w:eastAsia="zh-CN"/>
        </w:rPr>
      </w:pPr>
      <w:bookmarkStart w:id="104" w:name="_Toc17162"/>
      <w:bookmarkStart w:id="105" w:name="_Toc1360012656"/>
      <w:bookmarkStart w:id="106" w:name="_Toc25916"/>
      <w:r>
        <w:rPr>
          <w:rFonts w:hint="eastAsia" w:ascii="仿宋" w:hAnsi="仿宋" w:eastAsia="仿宋" w:cs="仿宋"/>
          <w:color w:val="auto"/>
          <w:sz w:val="32"/>
          <w:szCs w:val="32"/>
          <w:lang w:val="en-US" w:eastAsia="zh-CN"/>
        </w:rPr>
        <w:t>(四)科技创新目标</w:t>
      </w:r>
      <w:bookmarkEnd w:id="104"/>
      <w:bookmarkEnd w:id="105"/>
      <w:bookmarkEnd w:id="106"/>
    </w:p>
    <w:p>
      <w:pPr>
        <w:pageBreakBefore w:val="0"/>
        <w:widowControl w:val="0"/>
        <w:tabs>
          <w:tab w:val="left" w:pos="2428"/>
        </w:tabs>
        <w:kinsoku/>
        <w:wordWrap/>
        <w:overflowPunct/>
        <w:topLinePunct w:val="0"/>
        <w:autoSpaceDE/>
        <w:autoSpaceDN/>
        <w:bidi w:val="0"/>
        <w:adjustRightInd/>
        <w:snapToGrid/>
        <w:spacing w:line="560" w:lineRule="exact"/>
        <w:ind w:firstLine="600" w:firstLineChars="200"/>
        <w:jc w:val="left"/>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坚持以科技创新为引领，到2025年主要指标有明显增长，高新技术企业年均增加3个，目标年达到27家；科技型中小企业年均增加8个，目标年达到64家；“专精特新”企业年增加3个，目标年达到25家；全社会R&amp;D投入强度目标年达到2.2%，科技创新平台数量和投入明显增长，企业科技服务能力进一步提高。“十四五”技改投入比“十三五”翻一番以上，到2025年，全县规模以上工业企业研发投入占主营业务收入比重达到</w:t>
      </w:r>
      <w:r>
        <w:rPr>
          <w:rFonts w:hint="eastAsia" w:ascii="仿宋_GB2312" w:hAnsi="仿宋_GB2312" w:eastAsia="仿宋_GB2312" w:cs="仿宋_GB2312"/>
          <w:color w:val="auto"/>
          <w:kern w:val="2"/>
          <w:sz w:val="30"/>
          <w:szCs w:val="30"/>
          <w:highlight w:val="none"/>
          <w:u w:val="none"/>
          <w:lang w:val="en-US" w:eastAsia="zh-CN" w:bidi="ar-SA"/>
        </w:rPr>
        <w:t xml:space="preserve"> 10</w:t>
      </w:r>
      <w:r>
        <w:rPr>
          <w:rFonts w:hint="eastAsia" w:ascii="仿宋_GB2312" w:hAnsi="仿宋_GB2312" w:eastAsia="仿宋_GB2312" w:cs="仿宋_GB2312"/>
          <w:color w:val="auto"/>
          <w:kern w:val="2"/>
          <w:sz w:val="30"/>
          <w:szCs w:val="30"/>
          <w:highlight w:val="none"/>
          <w:lang w:val="en-US" w:eastAsia="zh-CN" w:bidi="ar-SA"/>
        </w:rPr>
        <w:t>%以上</w:t>
      </w:r>
      <w:r>
        <w:rPr>
          <w:rFonts w:hint="eastAsia" w:ascii="仿宋_GB2312" w:hAnsi="仿宋_GB2312" w:eastAsia="仿宋_GB2312" w:cs="仿宋_GB2312"/>
          <w:color w:val="auto"/>
          <w:kern w:val="2"/>
          <w:sz w:val="30"/>
          <w:szCs w:val="30"/>
          <w:lang w:val="en-US" w:eastAsia="zh-CN" w:bidi="ar-SA"/>
        </w:rPr>
        <w:t>，新增国家或自治区级企业研发机构</w:t>
      </w:r>
      <w:r>
        <w:rPr>
          <w:rFonts w:hint="eastAsia" w:ascii="仿宋_GB2312" w:hAnsi="仿宋_GB2312" w:eastAsia="仿宋_GB2312" w:cs="仿宋_GB2312"/>
          <w:color w:val="auto"/>
          <w:kern w:val="2"/>
          <w:sz w:val="30"/>
          <w:szCs w:val="30"/>
          <w:u w:val="none"/>
          <w:lang w:val="en-US" w:eastAsia="zh-CN" w:bidi="ar-SA"/>
        </w:rPr>
        <w:t>5</w:t>
      </w:r>
      <w:r>
        <w:rPr>
          <w:rFonts w:hint="eastAsia" w:ascii="仿宋_GB2312" w:hAnsi="仿宋_GB2312" w:eastAsia="仿宋_GB2312" w:cs="仿宋_GB2312"/>
          <w:color w:val="auto"/>
          <w:kern w:val="2"/>
          <w:sz w:val="30"/>
          <w:szCs w:val="30"/>
          <w:lang w:val="en-US" w:eastAsia="zh-CN" w:bidi="ar-SA"/>
        </w:rPr>
        <w:t>个以上，全县专利申请量比</w:t>
      </w:r>
      <w:r>
        <w:rPr>
          <w:rFonts w:hint="eastAsia" w:ascii="仿宋_GB2312" w:hAnsi="仿宋_GB2312" w:eastAsia="仿宋_GB2312" w:cs="仿宋_GB2312"/>
          <w:color w:val="auto"/>
          <w:kern w:val="2"/>
          <w:sz w:val="30"/>
          <w:szCs w:val="30"/>
          <w:u w:val="none"/>
          <w:lang w:val="en-US" w:eastAsia="zh-CN" w:bidi="ar-SA"/>
        </w:rPr>
        <w:t>2020</w:t>
      </w:r>
      <w:r>
        <w:rPr>
          <w:rFonts w:hint="eastAsia" w:ascii="仿宋_GB2312" w:hAnsi="仿宋_GB2312" w:eastAsia="仿宋_GB2312" w:cs="仿宋_GB2312"/>
          <w:color w:val="auto"/>
          <w:kern w:val="2"/>
          <w:sz w:val="30"/>
          <w:szCs w:val="30"/>
          <w:lang w:val="en-US" w:eastAsia="zh-CN" w:bidi="ar-SA"/>
        </w:rPr>
        <w:t>年翻一番以上。</w:t>
      </w:r>
    </w:p>
    <w:p>
      <w:pPr>
        <w:pStyle w:val="5"/>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color w:val="auto"/>
          <w:sz w:val="32"/>
          <w:szCs w:val="32"/>
          <w:lang w:val="en-US" w:eastAsia="zh-CN"/>
        </w:rPr>
      </w:pPr>
      <w:bookmarkStart w:id="107" w:name="_Toc31707"/>
      <w:bookmarkStart w:id="108" w:name="_Toc1463803943"/>
      <w:bookmarkStart w:id="109" w:name="_Toc7662"/>
      <w:r>
        <w:rPr>
          <w:rFonts w:hint="eastAsia" w:ascii="仿宋" w:hAnsi="仿宋" w:eastAsia="仿宋" w:cs="仿宋"/>
          <w:color w:val="auto"/>
          <w:sz w:val="32"/>
          <w:szCs w:val="32"/>
          <w:lang w:val="en-US" w:eastAsia="zh-CN"/>
        </w:rPr>
        <w:t>(五)两化融合目标</w:t>
      </w:r>
      <w:bookmarkEnd w:id="107"/>
      <w:bookmarkEnd w:id="108"/>
      <w:bookmarkEnd w:id="109"/>
    </w:p>
    <w:p>
      <w:pPr>
        <w:pageBreakBefore w:val="0"/>
        <w:widowControl w:val="0"/>
        <w:tabs>
          <w:tab w:val="left" w:pos="2262"/>
        </w:tabs>
        <w:kinsoku/>
        <w:wordWrap/>
        <w:overflowPunct/>
        <w:topLinePunct w:val="0"/>
        <w:autoSpaceDE/>
        <w:autoSpaceDN/>
        <w:bidi w:val="0"/>
        <w:adjustRightInd/>
        <w:snapToGrid/>
        <w:spacing w:line="560" w:lineRule="exact"/>
        <w:ind w:firstLine="600" w:firstLineChars="200"/>
        <w:jc w:val="left"/>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到2025年，计算机辅助设计、辅助制造、辅助工程等技术在重点工业企业的应用率达到90%以上；数控技术应用率达到70%以上；重点企业电子商务应用率达到90%以上；企业管理信息系统应用率达到90%。</w:t>
      </w:r>
    </w:p>
    <w:p>
      <w:pPr>
        <w:pStyle w:val="5"/>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bCs/>
          <w:color w:val="auto"/>
          <w:sz w:val="32"/>
          <w:szCs w:val="32"/>
          <w:lang w:val="en-US" w:eastAsia="zh-CN"/>
        </w:rPr>
      </w:pPr>
      <w:bookmarkStart w:id="110" w:name="_Toc26991"/>
      <w:bookmarkStart w:id="111" w:name="_Toc737920468"/>
      <w:bookmarkStart w:id="112" w:name="_Toc20011"/>
      <w:r>
        <w:rPr>
          <w:rFonts w:hint="eastAsia" w:ascii="仿宋" w:hAnsi="仿宋" w:eastAsia="仿宋" w:cs="仿宋"/>
          <w:color w:val="auto"/>
          <w:sz w:val="32"/>
          <w:szCs w:val="32"/>
          <w:lang w:val="en-US" w:eastAsia="zh-CN"/>
        </w:rPr>
        <w:t>(六)</w:t>
      </w:r>
      <w:r>
        <w:rPr>
          <w:rFonts w:hint="eastAsia" w:ascii="仿宋" w:hAnsi="仿宋" w:eastAsia="仿宋" w:cs="仿宋"/>
          <w:b/>
          <w:bCs/>
          <w:color w:val="auto"/>
          <w:sz w:val="32"/>
          <w:szCs w:val="32"/>
          <w:lang w:val="en-US" w:eastAsia="zh-CN"/>
        </w:rPr>
        <w:t>工业节能“双控”目标</w:t>
      </w:r>
      <w:bookmarkEnd w:id="110"/>
      <w:bookmarkEnd w:id="111"/>
      <w:bookmarkEnd w:id="112"/>
    </w:p>
    <w:p>
      <w:pPr>
        <w:pageBreakBefore w:val="0"/>
        <w:widowControl w:val="0"/>
        <w:tabs>
          <w:tab w:val="left" w:pos="2428"/>
        </w:tabs>
        <w:kinsoku/>
        <w:wordWrap/>
        <w:overflowPunct/>
        <w:topLinePunct w:val="0"/>
        <w:autoSpaceDE/>
        <w:autoSpaceDN/>
        <w:bidi w:val="0"/>
        <w:adjustRightInd/>
        <w:snapToGrid/>
        <w:spacing w:line="560" w:lineRule="exact"/>
        <w:ind w:firstLine="600" w:firstLineChars="200"/>
        <w:jc w:val="left"/>
        <w:textAlignment w:val="auto"/>
        <w:rPr>
          <w:rFonts w:hint="eastAsia"/>
          <w:sz w:val="30"/>
          <w:szCs w:val="30"/>
          <w:lang w:val="en-US" w:eastAsia="zh-CN"/>
        </w:rPr>
      </w:pPr>
      <w:r>
        <w:rPr>
          <w:rFonts w:hint="eastAsia" w:ascii="仿宋_GB2312" w:hAnsi="仿宋_GB2312" w:eastAsia="仿宋_GB2312" w:cs="仿宋_GB2312"/>
          <w:color w:val="auto"/>
          <w:kern w:val="2"/>
          <w:sz w:val="30"/>
          <w:szCs w:val="30"/>
          <w:lang w:val="en-US" w:eastAsia="zh-CN" w:bidi="ar-SA"/>
        </w:rPr>
        <w:t>到2025年，主导产业的平均能耗达到国内同行业先进水平；骨干企业的工艺技术和装备水平达到国内同行业先进水平；一般工业固废综合利用率达到65%；加快淘汰落后机电及变压器设备，使企业在生产过程中提高效率，规上企业杜绝使用淘汰落后用能设备率100%。</w:t>
      </w:r>
      <w:r>
        <w:rPr>
          <w:rFonts w:hint="eastAsia" w:ascii="仿宋_GB2312" w:hAnsi="仿宋_GB2312" w:eastAsia="仿宋_GB2312" w:cs="仿宋_GB2312"/>
          <w:color w:val="auto"/>
          <w:sz w:val="30"/>
          <w:szCs w:val="30"/>
          <w:lang w:val="en-US" w:eastAsia="zh-CN"/>
        </w:rPr>
        <w:t>邀请能源统计方面专家，对全县规上工业企业及新入规企业节能分管领导及统计人员全面开展能源指标核算业务培训，尤其是高耗能企业的能源统计人员，做到应统尽统，确保统计报表准确无误，提高企业节能意识及用能效率。</w:t>
      </w:r>
      <w:r>
        <w:rPr>
          <w:rFonts w:hint="eastAsia" w:ascii="仿宋_GB2312" w:hAnsi="仿宋_GB2312" w:eastAsia="仿宋_GB2312" w:cs="仿宋_GB2312"/>
          <w:color w:val="auto"/>
          <w:kern w:val="2"/>
          <w:sz w:val="30"/>
          <w:szCs w:val="30"/>
          <w:lang w:val="en-US" w:eastAsia="zh-CN" w:bidi="ar-SA"/>
        </w:rPr>
        <w:t>推进全县重点用能单位在线监测系统建设，促进互联网和节能工作深度融合，到2025年，实现规上企业100%安装能耗在线监测系统，提高能源管理精细化水平，实现资源消耗监测管控全覆盖；重点实施工艺技改，支持煤气化节能技术改造、余热余能回收利用等节能技术改造项目。</w:t>
      </w:r>
    </w:p>
    <w:p>
      <w:pPr>
        <w:pageBreakBefore w:val="0"/>
        <w:widowControl w:val="0"/>
        <w:kinsoku/>
        <w:wordWrap/>
        <w:overflowPunct/>
        <w:topLinePunct w:val="0"/>
        <w:autoSpaceDE/>
        <w:autoSpaceDN/>
        <w:bidi w:val="0"/>
        <w:adjustRightInd w:val="0"/>
        <w:snapToGrid w:val="0"/>
        <w:spacing w:before="156" w:beforeLines="50" w:line="240" w:lineRule="auto"/>
        <w:jc w:val="center"/>
        <w:textAlignment w:val="auto"/>
        <w:rPr>
          <w:rFonts w:hint="eastAsia" w:ascii="仿宋" w:hAnsi="仿宋" w:eastAsia="仿宋" w:cs="仿宋"/>
          <w:b/>
          <w:bCs/>
          <w:color w:val="auto"/>
          <w:sz w:val="30"/>
          <w:szCs w:val="30"/>
          <w:lang w:val="en-US" w:eastAsia="zh-CN"/>
        </w:rPr>
      </w:pPr>
      <w:bookmarkStart w:id="113" w:name="_Toc3297"/>
      <w:bookmarkStart w:id="114" w:name="_Toc32376"/>
    </w:p>
    <w:p>
      <w:pPr>
        <w:pageBreakBefore w:val="0"/>
        <w:widowControl w:val="0"/>
        <w:kinsoku/>
        <w:wordWrap/>
        <w:overflowPunct/>
        <w:topLinePunct w:val="0"/>
        <w:autoSpaceDE/>
        <w:autoSpaceDN/>
        <w:bidi w:val="0"/>
        <w:adjustRightInd w:val="0"/>
        <w:snapToGrid w:val="0"/>
        <w:spacing w:before="156" w:beforeLines="50" w:line="240" w:lineRule="auto"/>
        <w:jc w:val="center"/>
        <w:textAlignment w:val="auto"/>
        <w:rPr>
          <w:rFonts w:hint="eastAsia" w:ascii="仿宋" w:hAnsi="仿宋" w:eastAsia="仿宋" w:cs="仿宋"/>
          <w:b/>
          <w:bCs/>
          <w:color w:val="auto"/>
          <w:sz w:val="30"/>
          <w:szCs w:val="30"/>
          <w:lang w:val="en-US" w:eastAsia="zh-CN"/>
        </w:rPr>
      </w:pPr>
    </w:p>
    <w:p>
      <w:pPr>
        <w:pageBreakBefore w:val="0"/>
        <w:widowControl w:val="0"/>
        <w:kinsoku/>
        <w:wordWrap/>
        <w:overflowPunct/>
        <w:topLinePunct w:val="0"/>
        <w:autoSpaceDE/>
        <w:autoSpaceDN/>
        <w:bidi w:val="0"/>
        <w:adjustRightInd w:val="0"/>
        <w:snapToGrid w:val="0"/>
        <w:spacing w:before="156" w:beforeLines="50" w:line="240" w:lineRule="auto"/>
        <w:jc w:val="center"/>
        <w:textAlignment w:val="auto"/>
        <w:rPr>
          <w:rFonts w:hint="eastAsia" w:ascii="仿宋" w:hAnsi="仿宋" w:eastAsia="仿宋" w:cs="仿宋"/>
          <w:b/>
          <w:bCs/>
          <w:color w:val="auto"/>
          <w:sz w:val="30"/>
          <w:szCs w:val="30"/>
          <w:lang w:val="en-US" w:eastAsia="zh-CN"/>
        </w:rPr>
      </w:pPr>
    </w:p>
    <w:p>
      <w:pPr>
        <w:pageBreakBefore w:val="0"/>
        <w:widowControl w:val="0"/>
        <w:kinsoku/>
        <w:wordWrap/>
        <w:overflowPunct/>
        <w:topLinePunct w:val="0"/>
        <w:autoSpaceDE/>
        <w:autoSpaceDN/>
        <w:bidi w:val="0"/>
        <w:adjustRightInd w:val="0"/>
        <w:snapToGrid w:val="0"/>
        <w:spacing w:before="156" w:beforeLines="50" w:line="240" w:lineRule="auto"/>
        <w:jc w:val="center"/>
        <w:textAlignment w:val="auto"/>
        <w:rPr>
          <w:rFonts w:hint="eastAsia" w:ascii="仿宋" w:hAnsi="仿宋" w:eastAsia="仿宋" w:cs="仿宋"/>
          <w:b/>
          <w:bCs/>
          <w:color w:val="auto"/>
          <w:sz w:val="30"/>
          <w:szCs w:val="30"/>
          <w:lang w:val="en-US" w:eastAsia="zh-CN"/>
        </w:rPr>
      </w:pPr>
    </w:p>
    <w:p>
      <w:pPr>
        <w:pageBreakBefore w:val="0"/>
        <w:widowControl w:val="0"/>
        <w:kinsoku/>
        <w:wordWrap/>
        <w:overflowPunct/>
        <w:topLinePunct w:val="0"/>
        <w:autoSpaceDE/>
        <w:autoSpaceDN/>
        <w:bidi w:val="0"/>
        <w:adjustRightInd w:val="0"/>
        <w:snapToGrid w:val="0"/>
        <w:spacing w:before="156" w:beforeLines="50" w:line="240" w:lineRule="auto"/>
        <w:jc w:val="center"/>
        <w:textAlignment w:val="auto"/>
        <w:rPr>
          <w:rFonts w:hint="eastAsia" w:ascii="仿宋" w:hAnsi="仿宋" w:eastAsia="仿宋" w:cs="仿宋"/>
          <w:b/>
          <w:bCs/>
          <w:color w:val="auto"/>
          <w:sz w:val="30"/>
          <w:szCs w:val="30"/>
          <w:lang w:val="en-US" w:eastAsia="zh-CN"/>
        </w:rPr>
      </w:pPr>
    </w:p>
    <w:p>
      <w:pPr>
        <w:pageBreakBefore w:val="0"/>
        <w:widowControl w:val="0"/>
        <w:kinsoku/>
        <w:wordWrap/>
        <w:overflowPunct/>
        <w:topLinePunct w:val="0"/>
        <w:autoSpaceDE/>
        <w:autoSpaceDN/>
        <w:bidi w:val="0"/>
        <w:adjustRightInd w:val="0"/>
        <w:snapToGrid w:val="0"/>
        <w:spacing w:before="156" w:beforeLines="50" w:line="240" w:lineRule="auto"/>
        <w:jc w:val="center"/>
        <w:textAlignment w:val="auto"/>
        <w:rPr>
          <w:rFonts w:hint="eastAsia" w:ascii="仿宋" w:hAnsi="仿宋" w:eastAsia="仿宋" w:cs="仿宋"/>
          <w:b/>
          <w:bCs/>
          <w:color w:val="auto"/>
          <w:sz w:val="30"/>
          <w:szCs w:val="30"/>
          <w:lang w:val="en-US" w:eastAsia="zh-CN"/>
        </w:rPr>
      </w:pPr>
    </w:p>
    <w:p>
      <w:pPr>
        <w:pageBreakBefore w:val="0"/>
        <w:widowControl w:val="0"/>
        <w:kinsoku/>
        <w:wordWrap/>
        <w:overflowPunct/>
        <w:topLinePunct w:val="0"/>
        <w:autoSpaceDE/>
        <w:autoSpaceDN/>
        <w:bidi w:val="0"/>
        <w:adjustRightInd w:val="0"/>
        <w:snapToGrid w:val="0"/>
        <w:spacing w:before="156" w:beforeLines="50" w:line="240" w:lineRule="auto"/>
        <w:jc w:val="center"/>
        <w:textAlignment w:val="auto"/>
        <w:rPr>
          <w:rFonts w:hint="eastAsia" w:ascii="仿宋" w:hAnsi="仿宋" w:eastAsia="仿宋" w:cs="仿宋"/>
          <w:b/>
          <w:bCs/>
          <w:color w:val="auto"/>
          <w:sz w:val="30"/>
          <w:szCs w:val="30"/>
          <w:lang w:val="en-US" w:eastAsia="zh-CN"/>
        </w:rPr>
      </w:pPr>
    </w:p>
    <w:p>
      <w:pPr>
        <w:pageBreakBefore w:val="0"/>
        <w:widowControl w:val="0"/>
        <w:kinsoku/>
        <w:wordWrap/>
        <w:overflowPunct/>
        <w:topLinePunct w:val="0"/>
        <w:autoSpaceDE/>
        <w:autoSpaceDN/>
        <w:bidi w:val="0"/>
        <w:adjustRightInd w:val="0"/>
        <w:snapToGrid w:val="0"/>
        <w:spacing w:before="156" w:beforeLines="50" w:line="240" w:lineRule="auto"/>
        <w:jc w:val="center"/>
        <w:textAlignment w:val="auto"/>
        <w:rPr>
          <w:rFonts w:hint="eastAsia" w:ascii="仿宋" w:hAnsi="仿宋" w:eastAsia="仿宋" w:cs="仿宋"/>
          <w:b/>
          <w:bCs/>
          <w:color w:val="auto"/>
          <w:kern w:val="1"/>
          <w:sz w:val="30"/>
          <w:szCs w:val="30"/>
        </w:rPr>
      </w:pPr>
      <w:r>
        <w:rPr>
          <w:rFonts w:hint="eastAsia" w:ascii="仿宋" w:hAnsi="仿宋" w:eastAsia="仿宋" w:cs="仿宋"/>
          <w:b/>
          <w:bCs/>
          <w:color w:val="auto"/>
          <w:sz w:val="30"/>
          <w:szCs w:val="30"/>
          <w:lang w:val="en-US" w:eastAsia="zh-CN"/>
        </w:rPr>
        <w:t>表2.1</w:t>
      </w:r>
      <w:r>
        <w:rPr>
          <w:rFonts w:hint="eastAsia" w:ascii="仿宋" w:hAnsi="仿宋" w:eastAsia="仿宋" w:cs="仿宋"/>
          <w:b/>
          <w:bCs/>
          <w:color w:val="auto"/>
          <w:kern w:val="1"/>
          <w:sz w:val="30"/>
          <w:szCs w:val="30"/>
        </w:rPr>
        <w:t>“十四五”时期</w:t>
      </w:r>
      <w:r>
        <w:rPr>
          <w:rFonts w:hint="eastAsia" w:ascii="仿宋" w:hAnsi="仿宋" w:eastAsia="仿宋" w:cs="仿宋"/>
          <w:b/>
          <w:bCs/>
          <w:color w:val="auto"/>
          <w:kern w:val="1"/>
          <w:sz w:val="30"/>
          <w:szCs w:val="30"/>
          <w:lang w:eastAsia="zh-CN"/>
        </w:rPr>
        <w:t>平罗县</w:t>
      </w:r>
      <w:r>
        <w:rPr>
          <w:rFonts w:hint="eastAsia" w:ascii="仿宋" w:hAnsi="仿宋" w:eastAsia="仿宋" w:cs="仿宋"/>
          <w:b/>
          <w:bCs/>
          <w:color w:val="auto"/>
          <w:kern w:val="1"/>
          <w:sz w:val="30"/>
          <w:szCs w:val="30"/>
        </w:rPr>
        <w:t>工业发展目标指标</w:t>
      </w:r>
    </w:p>
    <w:tbl>
      <w:tblPr>
        <w:tblStyle w:val="22"/>
        <w:tblpPr w:leftFromText="180" w:rightFromText="180" w:vertAnchor="text" w:horzAnchor="page" w:tblpXSpec="center" w:tblpY="285"/>
        <w:tblOverlap w:val="never"/>
        <w:tblW w:w="84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5"/>
        <w:gridCol w:w="5265"/>
        <w:gridCol w:w="1485"/>
        <w:gridCol w:w="1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5" w:type="dxa"/>
            <w:vAlign w:val="center"/>
          </w:tcPr>
          <w:p>
            <w:pPr>
              <w:bidi w:val="0"/>
              <w:spacing w:line="240" w:lineRule="auto"/>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类别</w:t>
            </w:r>
          </w:p>
        </w:tc>
        <w:tc>
          <w:tcPr>
            <w:tcW w:w="5265" w:type="dxa"/>
            <w:vAlign w:val="center"/>
          </w:tcPr>
          <w:p>
            <w:pPr>
              <w:bidi w:val="0"/>
              <w:spacing w:line="240" w:lineRule="auto"/>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指标</w:t>
            </w:r>
          </w:p>
        </w:tc>
        <w:tc>
          <w:tcPr>
            <w:tcW w:w="1485" w:type="dxa"/>
            <w:vAlign w:val="center"/>
          </w:tcPr>
          <w:p>
            <w:pPr>
              <w:bidi w:val="0"/>
              <w:spacing w:line="240" w:lineRule="auto"/>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2020年</w:t>
            </w:r>
          </w:p>
        </w:tc>
        <w:tc>
          <w:tcPr>
            <w:tcW w:w="1219" w:type="dxa"/>
            <w:vAlign w:val="center"/>
          </w:tcPr>
          <w:p>
            <w:pPr>
              <w:bidi w:val="0"/>
              <w:spacing w:line="240" w:lineRule="auto"/>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455" w:type="dxa"/>
            <w:vMerge w:val="restart"/>
            <w:vAlign w:val="center"/>
          </w:tcPr>
          <w:p>
            <w:pPr>
              <w:bidi w:val="0"/>
              <w:spacing w:line="240" w:lineRule="auto"/>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规模</w:t>
            </w:r>
          </w:p>
          <w:p>
            <w:pPr>
              <w:bidi w:val="0"/>
              <w:spacing w:line="240" w:lineRule="auto"/>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质量</w:t>
            </w:r>
          </w:p>
        </w:tc>
        <w:tc>
          <w:tcPr>
            <w:tcW w:w="5265" w:type="dxa"/>
            <w:vAlign w:val="center"/>
          </w:tcPr>
          <w:p>
            <w:pPr>
              <w:bidi w:val="0"/>
              <w:spacing w:line="240" w:lineRule="auto"/>
              <w:jc w:val="lef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1.工业总产值及年均增速（亿元/%）</w:t>
            </w:r>
          </w:p>
        </w:tc>
        <w:tc>
          <w:tcPr>
            <w:tcW w:w="148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398.8/-4.2%</w:t>
            </w:r>
          </w:p>
        </w:tc>
        <w:tc>
          <w:tcPr>
            <w:tcW w:w="1219" w:type="dxa"/>
            <w:vAlign w:val="center"/>
          </w:tcPr>
          <w:p>
            <w:pPr>
              <w:bidi w:val="0"/>
              <w:spacing w:line="240" w:lineRule="auto"/>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1000/10%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455" w:type="dxa"/>
            <w:vMerge w:val="continue"/>
            <w:vAlign w:val="center"/>
          </w:tcPr>
          <w:p>
            <w:pPr>
              <w:bidi w:val="0"/>
              <w:spacing w:line="240" w:lineRule="auto"/>
              <w:jc w:val="center"/>
              <w:rPr>
                <w:rFonts w:hint="eastAsia" w:ascii="仿宋_GB2312" w:hAnsi="仿宋_GB2312" w:eastAsia="仿宋_GB2312" w:cs="仿宋_GB2312"/>
                <w:color w:val="auto"/>
                <w:sz w:val="24"/>
                <w:szCs w:val="24"/>
                <w:lang w:val="en-US" w:eastAsia="zh-CN"/>
              </w:rPr>
            </w:pPr>
          </w:p>
        </w:tc>
        <w:tc>
          <w:tcPr>
            <w:tcW w:w="5265" w:type="dxa"/>
            <w:vAlign w:val="center"/>
          </w:tcPr>
          <w:p>
            <w:pPr>
              <w:bidi w:val="0"/>
              <w:spacing w:line="240" w:lineRule="auto"/>
              <w:jc w:val="lef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2.工业增加值及年均增速（亿元/%）</w:t>
            </w:r>
          </w:p>
        </w:tc>
        <w:tc>
          <w:tcPr>
            <w:tcW w:w="1485" w:type="dxa"/>
            <w:vAlign w:val="center"/>
          </w:tcPr>
          <w:p>
            <w:pPr>
              <w:bidi w:val="0"/>
              <w:spacing w:line="240" w:lineRule="auto"/>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77.1/1.6%</w:t>
            </w:r>
          </w:p>
        </w:tc>
        <w:tc>
          <w:tcPr>
            <w:tcW w:w="1219" w:type="dxa"/>
            <w:vAlign w:val="center"/>
          </w:tcPr>
          <w:p>
            <w:pPr>
              <w:bidi w:val="0"/>
              <w:spacing w:line="240" w:lineRule="auto"/>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90/7%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455" w:type="dxa"/>
            <w:vMerge w:val="continue"/>
            <w:vAlign w:val="center"/>
          </w:tcPr>
          <w:p>
            <w:pPr>
              <w:bidi w:val="0"/>
              <w:spacing w:line="240" w:lineRule="auto"/>
              <w:jc w:val="center"/>
              <w:rPr>
                <w:rFonts w:hint="eastAsia" w:ascii="仿宋_GB2312" w:hAnsi="仿宋_GB2312" w:eastAsia="仿宋_GB2312" w:cs="仿宋_GB2312"/>
                <w:color w:val="auto"/>
                <w:sz w:val="24"/>
                <w:szCs w:val="24"/>
                <w:lang w:val="en-US" w:eastAsia="zh-CN"/>
              </w:rPr>
            </w:pPr>
          </w:p>
        </w:tc>
        <w:tc>
          <w:tcPr>
            <w:tcW w:w="5265" w:type="dxa"/>
            <w:vAlign w:val="center"/>
          </w:tcPr>
          <w:p>
            <w:pPr>
              <w:bidi w:val="0"/>
              <w:spacing w:line="240" w:lineRule="auto"/>
              <w:jc w:val="lef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3.工业技改投资年均增速（%）</w:t>
            </w:r>
          </w:p>
        </w:tc>
        <w:tc>
          <w:tcPr>
            <w:tcW w:w="1485" w:type="dxa"/>
            <w:vAlign w:val="center"/>
          </w:tcPr>
          <w:p>
            <w:pPr>
              <w:bidi w:val="0"/>
              <w:spacing w:line="240" w:lineRule="auto"/>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-5.8%</w:t>
            </w:r>
          </w:p>
        </w:tc>
        <w:tc>
          <w:tcPr>
            <w:tcW w:w="1219" w:type="dxa"/>
            <w:vAlign w:val="center"/>
          </w:tcPr>
          <w:p>
            <w:pPr>
              <w:bidi w:val="0"/>
              <w:spacing w:line="240" w:lineRule="auto"/>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455" w:type="dxa"/>
            <w:vMerge w:val="restart"/>
            <w:vAlign w:val="center"/>
          </w:tcPr>
          <w:p>
            <w:pPr>
              <w:bidi w:val="0"/>
              <w:spacing w:line="240" w:lineRule="auto"/>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创新</w:t>
            </w:r>
          </w:p>
          <w:p>
            <w:pPr>
              <w:bidi w:val="0"/>
              <w:spacing w:line="240" w:lineRule="auto"/>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质量</w:t>
            </w:r>
          </w:p>
        </w:tc>
        <w:tc>
          <w:tcPr>
            <w:tcW w:w="5265" w:type="dxa"/>
            <w:vAlign w:val="center"/>
          </w:tcPr>
          <w:p>
            <w:pPr>
              <w:bidi w:val="0"/>
              <w:spacing w:line="240" w:lineRule="auto"/>
              <w:jc w:val="lef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4.规上工业企业开展研发活动企业占比（%）</w:t>
            </w:r>
          </w:p>
        </w:tc>
        <w:tc>
          <w:tcPr>
            <w:tcW w:w="1485" w:type="dxa"/>
            <w:vAlign w:val="center"/>
          </w:tcPr>
          <w:p>
            <w:pPr>
              <w:bidi w:val="0"/>
              <w:spacing w:line="240" w:lineRule="auto"/>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36.6%</w:t>
            </w:r>
          </w:p>
        </w:tc>
        <w:tc>
          <w:tcPr>
            <w:tcW w:w="1219" w:type="dxa"/>
            <w:vAlign w:val="center"/>
          </w:tcPr>
          <w:p>
            <w:pPr>
              <w:bidi w:val="0"/>
              <w:spacing w:line="240" w:lineRule="auto"/>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455" w:type="dxa"/>
            <w:vMerge w:val="continue"/>
            <w:vAlign w:val="center"/>
          </w:tcPr>
          <w:p>
            <w:pPr>
              <w:bidi w:val="0"/>
              <w:spacing w:line="240" w:lineRule="auto"/>
              <w:jc w:val="center"/>
              <w:rPr>
                <w:rFonts w:hint="eastAsia" w:ascii="仿宋_GB2312" w:hAnsi="仿宋_GB2312" w:eastAsia="仿宋_GB2312" w:cs="仿宋_GB2312"/>
                <w:color w:val="auto"/>
                <w:sz w:val="24"/>
                <w:szCs w:val="24"/>
                <w:lang w:val="en-US" w:eastAsia="zh-CN"/>
              </w:rPr>
            </w:pPr>
          </w:p>
        </w:tc>
        <w:tc>
          <w:tcPr>
            <w:tcW w:w="5265" w:type="dxa"/>
            <w:vAlign w:val="center"/>
          </w:tcPr>
          <w:p>
            <w:pPr>
              <w:bidi w:val="0"/>
              <w:spacing w:line="240" w:lineRule="auto"/>
              <w:jc w:val="lef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5.R&amp;D经费投入强度（%）</w:t>
            </w:r>
          </w:p>
        </w:tc>
        <w:tc>
          <w:tcPr>
            <w:tcW w:w="1485" w:type="dxa"/>
            <w:vAlign w:val="center"/>
          </w:tcPr>
          <w:p>
            <w:pPr>
              <w:bidi w:val="0"/>
              <w:spacing w:line="240" w:lineRule="auto"/>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pacing w:val="1"/>
                <w:w w:val="92"/>
                <w:kern w:val="0"/>
                <w:sz w:val="24"/>
                <w:szCs w:val="24"/>
                <w:fitText w:val="1440" w:id="-1151751245"/>
                <w:lang w:val="en-US" w:eastAsia="zh-CN"/>
              </w:rPr>
              <w:t>1.58%（预计</w:t>
            </w:r>
            <w:r>
              <w:rPr>
                <w:rFonts w:hint="eastAsia" w:ascii="仿宋_GB2312" w:hAnsi="仿宋_GB2312" w:eastAsia="仿宋_GB2312" w:cs="仿宋_GB2312"/>
                <w:color w:val="auto"/>
                <w:spacing w:val="-1"/>
                <w:w w:val="92"/>
                <w:kern w:val="0"/>
                <w:sz w:val="24"/>
                <w:szCs w:val="24"/>
                <w:fitText w:val="1440" w:id="-1151751245"/>
                <w:lang w:val="en-US" w:eastAsia="zh-CN"/>
              </w:rPr>
              <w:t>）</w:t>
            </w:r>
          </w:p>
        </w:tc>
        <w:tc>
          <w:tcPr>
            <w:tcW w:w="1219" w:type="dxa"/>
            <w:vAlign w:val="center"/>
          </w:tcPr>
          <w:p>
            <w:pPr>
              <w:bidi w:val="0"/>
              <w:spacing w:line="240" w:lineRule="auto"/>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455" w:type="dxa"/>
            <w:vMerge w:val="continue"/>
            <w:vAlign w:val="center"/>
          </w:tcPr>
          <w:p>
            <w:pPr>
              <w:bidi w:val="0"/>
              <w:spacing w:line="240" w:lineRule="auto"/>
              <w:jc w:val="center"/>
              <w:rPr>
                <w:rFonts w:hint="eastAsia" w:ascii="仿宋_GB2312" w:hAnsi="仿宋_GB2312" w:eastAsia="仿宋_GB2312" w:cs="仿宋_GB2312"/>
                <w:color w:val="auto"/>
                <w:sz w:val="24"/>
                <w:szCs w:val="24"/>
                <w:lang w:val="en-US" w:eastAsia="zh-CN"/>
              </w:rPr>
            </w:pPr>
          </w:p>
        </w:tc>
        <w:tc>
          <w:tcPr>
            <w:tcW w:w="526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6.高新技术产业增加值占规上工业增加值比重（%）</w:t>
            </w:r>
          </w:p>
        </w:tc>
        <w:tc>
          <w:tcPr>
            <w:tcW w:w="1485" w:type="dxa"/>
            <w:vAlign w:val="center"/>
          </w:tcPr>
          <w:p>
            <w:pPr>
              <w:bidi w:val="0"/>
              <w:spacing w:line="240" w:lineRule="auto"/>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2.2%</w:t>
            </w:r>
          </w:p>
        </w:tc>
        <w:tc>
          <w:tcPr>
            <w:tcW w:w="1219" w:type="dxa"/>
            <w:vAlign w:val="center"/>
          </w:tcPr>
          <w:p>
            <w:pPr>
              <w:bidi w:val="0"/>
              <w:spacing w:line="240" w:lineRule="auto"/>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55" w:type="dxa"/>
            <w:vMerge w:val="restart"/>
            <w:vAlign w:val="center"/>
          </w:tcPr>
          <w:p>
            <w:pPr>
              <w:bidi w:val="0"/>
              <w:spacing w:line="240" w:lineRule="auto"/>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结构</w:t>
            </w:r>
          </w:p>
          <w:p>
            <w:pPr>
              <w:bidi w:val="0"/>
              <w:spacing w:line="240" w:lineRule="auto"/>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质量</w:t>
            </w:r>
          </w:p>
          <w:p>
            <w:pPr>
              <w:bidi w:val="0"/>
              <w:spacing w:line="240" w:lineRule="auto"/>
              <w:jc w:val="center"/>
              <w:rPr>
                <w:rFonts w:hint="eastAsia" w:ascii="仿宋_GB2312" w:hAnsi="仿宋_GB2312" w:eastAsia="仿宋_GB2312" w:cs="仿宋_GB2312"/>
                <w:color w:val="auto"/>
                <w:sz w:val="24"/>
                <w:szCs w:val="24"/>
                <w:lang w:val="en-US" w:eastAsia="zh-CN"/>
              </w:rPr>
            </w:pPr>
          </w:p>
        </w:tc>
        <w:tc>
          <w:tcPr>
            <w:tcW w:w="5265" w:type="dxa"/>
            <w:vAlign w:val="center"/>
          </w:tcPr>
          <w:p>
            <w:pPr>
              <w:bidi w:val="0"/>
              <w:spacing w:line="240" w:lineRule="auto"/>
              <w:jc w:val="lef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7.制造业增加值占工业增加值比重（%）</w:t>
            </w:r>
          </w:p>
        </w:tc>
        <w:tc>
          <w:tcPr>
            <w:tcW w:w="1485" w:type="dxa"/>
            <w:vAlign w:val="center"/>
          </w:tcPr>
          <w:p>
            <w:pPr>
              <w:bidi w:val="0"/>
              <w:spacing w:line="240" w:lineRule="auto"/>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64.4%</w:t>
            </w:r>
          </w:p>
        </w:tc>
        <w:tc>
          <w:tcPr>
            <w:tcW w:w="1219" w:type="dxa"/>
            <w:vAlign w:val="center"/>
          </w:tcPr>
          <w:p>
            <w:pPr>
              <w:bidi w:val="0"/>
              <w:spacing w:line="240" w:lineRule="auto"/>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455" w:type="dxa"/>
            <w:vMerge w:val="continue"/>
            <w:vAlign w:val="center"/>
          </w:tcPr>
          <w:p>
            <w:pPr>
              <w:bidi w:val="0"/>
              <w:spacing w:line="240" w:lineRule="auto"/>
              <w:jc w:val="center"/>
              <w:rPr>
                <w:rFonts w:hint="eastAsia" w:ascii="仿宋_GB2312" w:hAnsi="仿宋_GB2312" w:eastAsia="仿宋_GB2312" w:cs="仿宋_GB2312"/>
                <w:color w:val="auto"/>
                <w:sz w:val="24"/>
                <w:szCs w:val="24"/>
                <w:lang w:val="en-US" w:eastAsia="zh-CN"/>
              </w:rPr>
            </w:pPr>
          </w:p>
        </w:tc>
        <w:tc>
          <w:tcPr>
            <w:tcW w:w="5265" w:type="dxa"/>
            <w:vAlign w:val="center"/>
          </w:tcPr>
          <w:p>
            <w:pPr>
              <w:bidi w:val="0"/>
              <w:spacing w:line="240" w:lineRule="auto"/>
              <w:jc w:val="lef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8.战略性新兴产业增加值占工业增加值比重（%）</w:t>
            </w:r>
          </w:p>
        </w:tc>
        <w:tc>
          <w:tcPr>
            <w:tcW w:w="1485" w:type="dxa"/>
            <w:vAlign w:val="center"/>
          </w:tcPr>
          <w:p>
            <w:pPr>
              <w:bidi w:val="0"/>
              <w:spacing w:line="240" w:lineRule="auto"/>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3.5%</w:t>
            </w:r>
          </w:p>
        </w:tc>
        <w:tc>
          <w:tcPr>
            <w:tcW w:w="1219" w:type="dxa"/>
            <w:vAlign w:val="center"/>
          </w:tcPr>
          <w:p>
            <w:pPr>
              <w:bidi w:val="0"/>
              <w:spacing w:line="240" w:lineRule="auto"/>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455" w:type="dxa"/>
            <w:vMerge w:val="continue"/>
            <w:vAlign w:val="center"/>
          </w:tcPr>
          <w:p>
            <w:pPr>
              <w:bidi w:val="0"/>
              <w:spacing w:line="240" w:lineRule="auto"/>
              <w:jc w:val="center"/>
              <w:rPr>
                <w:rFonts w:hint="eastAsia" w:ascii="仿宋_GB2312" w:hAnsi="仿宋_GB2312" w:eastAsia="仿宋_GB2312" w:cs="仿宋_GB2312"/>
                <w:color w:val="auto"/>
                <w:sz w:val="24"/>
                <w:szCs w:val="24"/>
                <w:lang w:val="en-US" w:eastAsia="zh-CN"/>
              </w:rPr>
            </w:pPr>
          </w:p>
        </w:tc>
        <w:tc>
          <w:tcPr>
            <w:tcW w:w="5265" w:type="dxa"/>
            <w:vAlign w:val="center"/>
          </w:tcPr>
          <w:p>
            <w:pPr>
              <w:bidi w:val="0"/>
              <w:spacing w:line="240" w:lineRule="auto"/>
              <w:jc w:val="lef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9.工业固废综合利用率（%）</w:t>
            </w:r>
          </w:p>
        </w:tc>
        <w:tc>
          <w:tcPr>
            <w:tcW w:w="1485" w:type="dxa"/>
            <w:vAlign w:val="center"/>
          </w:tcPr>
          <w:p>
            <w:pPr>
              <w:bidi w:val="0"/>
              <w:spacing w:line="240" w:lineRule="auto"/>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63.64%</w:t>
            </w:r>
          </w:p>
        </w:tc>
        <w:tc>
          <w:tcPr>
            <w:tcW w:w="1219" w:type="dxa"/>
            <w:vAlign w:val="center"/>
          </w:tcPr>
          <w:p>
            <w:pPr>
              <w:bidi w:val="0"/>
              <w:spacing w:line="240" w:lineRule="auto"/>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55" w:type="dxa"/>
            <w:vMerge w:val="restart"/>
            <w:vAlign w:val="center"/>
          </w:tcPr>
          <w:p>
            <w:pPr>
              <w:bidi w:val="0"/>
              <w:spacing w:line="240" w:lineRule="auto"/>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融合</w:t>
            </w:r>
          </w:p>
          <w:p>
            <w:pPr>
              <w:bidi w:val="0"/>
              <w:spacing w:line="240" w:lineRule="auto"/>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质量</w:t>
            </w:r>
          </w:p>
        </w:tc>
        <w:tc>
          <w:tcPr>
            <w:tcW w:w="5265" w:type="dxa"/>
            <w:vAlign w:val="center"/>
          </w:tcPr>
          <w:p>
            <w:pPr>
              <w:bidi w:val="0"/>
              <w:spacing w:line="240" w:lineRule="auto"/>
              <w:jc w:val="lef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10.工业绿色化智能化改造投资增长率</w:t>
            </w:r>
          </w:p>
        </w:tc>
        <w:tc>
          <w:tcPr>
            <w:tcW w:w="1485" w:type="dxa"/>
            <w:vAlign w:val="center"/>
          </w:tcPr>
          <w:p>
            <w:pPr>
              <w:bidi w:val="0"/>
              <w:spacing w:line="240" w:lineRule="auto"/>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5%</w:t>
            </w:r>
          </w:p>
        </w:tc>
        <w:tc>
          <w:tcPr>
            <w:tcW w:w="1219" w:type="dxa"/>
            <w:vAlign w:val="center"/>
          </w:tcPr>
          <w:p>
            <w:pPr>
              <w:bidi w:val="0"/>
              <w:spacing w:line="240" w:lineRule="auto"/>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455" w:type="dxa"/>
            <w:vMerge w:val="continue"/>
            <w:vAlign w:val="center"/>
          </w:tcPr>
          <w:p>
            <w:pPr>
              <w:bidi w:val="0"/>
              <w:spacing w:line="240" w:lineRule="auto"/>
              <w:jc w:val="center"/>
              <w:rPr>
                <w:rFonts w:hint="eastAsia" w:ascii="仿宋_GB2312" w:hAnsi="仿宋_GB2312" w:eastAsia="仿宋_GB2312" w:cs="仿宋_GB2312"/>
                <w:color w:val="auto"/>
                <w:sz w:val="24"/>
                <w:szCs w:val="24"/>
                <w:lang w:val="en-US" w:eastAsia="zh-CN"/>
              </w:rPr>
            </w:pPr>
          </w:p>
        </w:tc>
        <w:tc>
          <w:tcPr>
            <w:tcW w:w="5265" w:type="dxa"/>
            <w:vAlign w:val="center"/>
          </w:tcPr>
          <w:p>
            <w:pPr>
              <w:bidi w:val="0"/>
              <w:spacing w:line="240" w:lineRule="auto"/>
              <w:jc w:val="lef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11.累计数字化车间、智能工厂数量（家）</w:t>
            </w:r>
          </w:p>
        </w:tc>
        <w:tc>
          <w:tcPr>
            <w:tcW w:w="1485" w:type="dxa"/>
            <w:vAlign w:val="center"/>
          </w:tcPr>
          <w:p>
            <w:pPr>
              <w:bidi w:val="0"/>
              <w:spacing w:line="240" w:lineRule="auto"/>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0</w:t>
            </w:r>
          </w:p>
        </w:tc>
        <w:tc>
          <w:tcPr>
            <w:tcW w:w="1219" w:type="dxa"/>
            <w:vAlign w:val="center"/>
          </w:tcPr>
          <w:p>
            <w:pPr>
              <w:bidi w:val="0"/>
              <w:spacing w:line="240" w:lineRule="auto"/>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455" w:type="dxa"/>
            <w:vMerge w:val="continue"/>
            <w:vAlign w:val="center"/>
          </w:tcPr>
          <w:p>
            <w:pPr>
              <w:bidi w:val="0"/>
              <w:spacing w:line="240" w:lineRule="auto"/>
              <w:jc w:val="center"/>
              <w:rPr>
                <w:rFonts w:hint="eastAsia" w:ascii="仿宋_GB2312" w:hAnsi="仿宋_GB2312" w:eastAsia="仿宋_GB2312" w:cs="仿宋_GB2312"/>
                <w:color w:val="auto"/>
                <w:sz w:val="24"/>
                <w:szCs w:val="24"/>
                <w:lang w:val="en-US" w:eastAsia="zh-CN"/>
              </w:rPr>
            </w:pPr>
          </w:p>
        </w:tc>
        <w:tc>
          <w:tcPr>
            <w:tcW w:w="5265" w:type="dxa"/>
            <w:vAlign w:val="center"/>
          </w:tcPr>
          <w:p>
            <w:pPr>
              <w:bidi w:val="0"/>
              <w:spacing w:line="240" w:lineRule="auto"/>
              <w:jc w:val="lef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12.累计绿色工厂数量（家）</w:t>
            </w:r>
          </w:p>
        </w:tc>
        <w:tc>
          <w:tcPr>
            <w:tcW w:w="1485" w:type="dxa"/>
            <w:vAlign w:val="center"/>
          </w:tcPr>
          <w:p>
            <w:pPr>
              <w:bidi w:val="0"/>
              <w:spacing w:line="240" w:lineRule="auto"/>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9</w:t>
            </w:r>
          </w:p>
        </w:tc>
        <w:tc>
          <w:tcPr>
            <w:tcW w:w="1219" w:type="dxa"/>
            <w:vAlign w:val="center"/>
          </w:tcPr>
          <w:p>
            <w:pPr>
              <w:bidi w:val="0"/>
              <w:spacing w:line="240" w:lineRule="auto"/>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15</w:t>
            </w:r>
          </w:p>
        </w:tc>
      </w:tr>
    </w:tbl>
    <w:p>
      <w:pPr>
        <w:pStyle w:val="3"/>
        <w:pageBreakBefore w:val="0"/>
        <w:widowControl w:val="0"/>
        <w:kinsoku/>
        <w:wordWrap/>
        <w:overflowPunct/>
        <w:topLinePunct w:val="0"/>
        <w:autoSpaceDE/>
        <w:autoSpaceDN/>
        <w:bidi w:val="0"/>
        <w:spacing w:line="560" w:lineRule="exact"/>
        <w:jc w:val="center"/>
        <w:textAlignment w:val="auto"/>
        <w:rPr>
          <w:rFonts w:hint="eastAsia" w:asciiTheme="majorEastAsia" w:hAnsiTheme="majorEastAsia" w:eastAsiaTheme="majorEastAsia" w:cstheme="majorEastAsia"/>
          <w:color w:val="auto"/>
          <w:sz w:val="32"/>
          <w:szCs w:val="32"/>
          <w:lang w:val="en-US" w:eastAsia="zh-CN"/>
        </w:rPr>
      </w:pPr>
    </w:p>
    <w:p>
      <w:pPr>
        <w:pStyle w:val="3"/>
        <w:pageBreakBefore w:val="0"/>
        <w:widowControl w:val="0"/>
        <w:kinsoku/>
        <w:wordWrap/>
        <w:overflowPunct/>
        <w:topLinePunct w:val="0"/>
        <w:autoSpaceDE/>
        <w:autoSpaceDN/>
        <w:bidi w:val="0"/>
        <w:spacing w:line="560" w:lineRule="exact"/>
        <w:jc w:val="center"/>
        <w:textAlignment w:val="auto"/>
        <w:rPr>
          <w:rFonts w:hint="eastAsia" w:ascii="黑体" w:hAnsi="黑体" w:eastAsia="黑体" w:cs="黑体"/>
          <w:b w:val="0"/>
          <w:bCs w:val="0"/>
          <w:color w:val="auto"/>
          <w:sz w:val="32"/>
          <w:szCs w:val="32"/>
          <w:lang w:val="en-US" w:eastAsia="zh-CN"/>
        </w:rPr>
      </w:pPr>
      <w:bookmarkStart w:id="115" w:name="_Toc14166"/>
      <w:bookmarkStart w:id="116" w:name="_Toc1410104273"/>
      <w:bookmarkStart w:id="117" w:name="_Toc26977"/>
      <w:r>
        <w:rPr>
          <w:rFonts w:hint="eastAsia" w:ascii="黑体" w:hAnsi="黑体" w:eastAsia="黑体" w:cs="黑体"/>
          <w:b w:val="0"/>
          <w:bCs w:val="0"/>
          <w:color w:val="auto"/>
          <w:sz w:val="32"/>
          <w:szCs w:val="32"/>
          <w:lang w:val="en-US" w:eastAsia="zh-CN"/>
        </w:rPr>
        <w:t xml:space="preserve">第三章 </w:t>
      </w:r>
      <w:bookmarkEnd w:id="113"/>
      <w:bookmarkEnd w:id="114"/>
      <w:r>
        <w:rPr>
          <w:rFonts w:hint="eastAsia" w:ascii="黑体" w:hAnsi="黑体" w:eastAsia="黑体" w:cs="黑体"/>
          <w:b w:val="0"/>
          <w:bCs w:val="0"/>
          <w:color w:val="auto"/>
          <w:sz w:val="32"/>
          <w:szCs w:val="32"/>
          <w:lang w:val="en-US" w:eastAsia="zh-CN"/>
        </w:rPr>
        <w:t>构建生态型工业体系</w:t>
      </w:r>
      <w:bookmarkEnd w:id="115"/>
      <w:bookmarkEnd w:id="116"/>
      <w:bookmarkEnd w:id="117"/>
    </w:p>
    <w:p>
      <w:pPr>
        <w:pStyle w:val="4"/>
        <w:pageBreakBefore w:val="0"/>
        <w:widowControl w:val="0"/>
        <w:kinsoku/>
        <w:wordWrap/>
        <w:overflowPunct/>
        <w:topLinePunct w:val="0"/>
        <w:autoSpaceDE/>
        <w:autoSpaceDN/>
        <w:bidi w:val="0"/>
        <w:spacing w:line="560" w:lineRule="exact"/>
        <w:ind w:firstLine="643" w:firstLineChars="200"/>
        <w:textAlignment w:val="auto"/>
        <w:rPr>
          <w:rFonts w:hint="eastAsia" w:ascii="楷体" w:hAnsi="楷体" w:eastAsia="楷体" w:cs="楷体"/>
          <w:color w:val="FF0000"/>
          <w:sz w:val="32"/>
          <w:szCs w:val="32"/>
          <w:lang w:val="en-US" w:eastAsia="zh-CN"/>
        </w:rPr>
      </w:pPr>
      <w:bookmarkStart w:id="118" w:name="_Toc9016"/>
      <w:bookmarkStart w:id="119" w:name="_Toc330243301"/>
      <w:bookmarkStart w:id="120" w:name="_Toc11665"/>
      <w:r>
        <w:rPr>
          <w:rFonts w:hint="eastAsia" w:ascii="楷体" w:hAnsi="楷体" w:eastAsia="楷体" w:cs="楷体"/>
          <w:color w:val="auto"/>
          <w:sz w:val="32"/>
          <w:szCs w:val="32"/>
          <w:lang w:val="en-US" w:eastAsia="zh-CN"/>
        </w:rPr>
        <w:t>一、做实做强新材料产业</w:t>
      </w:r>
      <w:bookmarkEnd w:id="118"/>
      <w:bookmarkEnd w:id="119"/>
      <w:bookmarkEnd w:id="120"/>
    </w:p>
    <w:p>
      <w:pPr>
        <w:keepNext w:val="0"/>
        <w:keepLines w:val="0"/>
        <w:pageBreakBefore w:val="0"/>
        <w:widowControl w:val="0"/>
        <w:kinsoku/>
        <w:wordWrap/>
        <w:overflowPunct/>
        <w:topLinePunct w:val="0"/>
        <w:autoSpaceDE/>
        <w:autoSpaceDN/>
        <w:bidi w:val="0"/>
        <w:adjustRightInd w:val="0"/>
        <w:snapToGrid w:val="0"/>
        <w:spacing w:line="560" w:lineRule="exact"/>
        <w:ind w:firstLine="600" w:firstLineChars="200"/>
        <w:textAlignment w:val="auto"/>
        <w:rPr>
          <w:rFonts w:hint="eastAsia" w:ascii="宋体" w:hAnsi="宋体" w:eastAsia="宋体" w:cs="宋体"/>
          <w:b/>
          <w:bCs/>
          <w:color w:val="000000" w:themeColor="text1"/>
          <w:sz w:val="30"/>
          <w:szCs w:val="30"/>
          <w:lang w:val="en-US" w:eastAsia="zh-CN"/>
          <w14:textFill>
            <w14:solidFill>
              <w14:schemeClr w14:val="tx1"/>
            </w14:solidFill>
          </w14:textFill>
        </w:rPr>
      </w:pPr>
      <w:r>
        <w:rPr>
          <w:rFonts w:hint="eastAsia" w:ascii="仿宋_GB2312" w:hAnsi="仿宋_GB2312" w:eastAsia="仿宋_GB2312" w:cs="仿宋_GB2312"/>
          <w:bCs/>
          <w:color w:val="000000" w:themeColor="text1"/>
          <w:sz w:val="30"/>
          <w:szCs w:val="30"/>
          <w:lang w:eastAsia="zh-CN"/>
          <w14:textFill>
            <w14:solidFill>
              <w14:schemeClr w14:val="tx1"/>
            </w14:solidFill>
          </w14:textFill>
        </w:rPr>
        <w:t>以</w:t>
      </w:r>
      <w:r>
        <w:rPr>
          <w:rFonts w:hint="eastAsia" w:ascii="仿宋_GB2312" w:hAnsi="仿宋_GB2312" w:eastAsia="仿宋_GB2312" w:cs="仿宋_GB2312"/>
          <w:color w:val="000000" w:themeColor="text1"/>
          <w:sz w:val="30"/>
          <w:szCs w:val="30"/>
          <w:lang w:val="en-US" w:eastAsia="zh-CN"/>
          <w14:textFill>
            <w14:solidFill>
              <w14:schemeClr w14:val="tx1"/>
            </w14:solidFill>
          </w14:textFill>
        </w:rPr>
        <w:t>特色冶金、碳基材料、化工新材料、电池材料、硅材料、燃料乙醇产业为主，</w:t>
      </w:r>
      <w:r>
        <w:rPr>
          <w:rFonts w:hint="eastAsia" w:ascii="仿宋_GB2312" w:hAnsi="仿宋_GB2312" w:eastAsia="仿宋_GB2312" w:cs="仿宋_GB2312"/>
          <w:bCs/>
          <w:color w:val="000000" w:themeColor="text1"/>
          <w:sz w:val="30"/>
          <w:szCs w:val="30"/>
          <w14:textFill>
            <w14:solidFill>
              <w14:schemeClr w14:val="tx1"/>
            </w14:solidFill>
          </w14:textFill>
        </w:rPr>
        <w:t>立足</w:t>
      </w:r>
      <w:r>
        <w:rPr>
          <w:rFonts w:hint="eastAsia" w:ascii="仿宋_GB2312" w:hAnsi="仿宋_GB2312" w:eastAsia="仿宋_GB2312" w:cs="仿宋_GB2312"/>
          <w:bCs/>
          <w:color w:val="000000" w:themeColor="text1"/>
          <w:sz w:val="30"/>
          <w:szCs w:val="30"/>
          <w:lang w:eastAsia="zh-CN"/>
          <w14:textFill>
            <w14:solidFill>
              <w14:schemeClr w14:val="tx1"/>
            </w14:solidFill>
          </w14:textFill>
        </w:rPr>
        <w:t>平罗县工业</w:t>
      </w:r>
      <w:r>
        <w:rPr>
          <w:rFonts w:hint="eastAsia" w:ascii="仿宋_GB2312" w:hAnsi="仿宋_GB2312" w:eastAsia="仿宋_GB2312" w:cs="仿宋_GB2312"/>
          <w:bCs/>
          <w:color w:val="000000" w:themeColor="text1"/>
          <w:sz w:val="30"/>
          <w:szCs w:val="30"/>
          <w14:textFill>
            <w14:solidFill>
              <w14:schemeClr w14:val="tx1"/>
            </w14:solidFill>
          </w14:textFill>
        </w:rPr>
        <w:t>产业发展基础和优势条件，构建新材料产业发展梯队和“龙头企业+研发机构+配套企业”的发展模式，打造全区新材料产业高质量发展的引领区、全国新材料产业重要集聚地。</w:t>
      </w:r>
    </w:p>
    <w:p>
      <w:pPr>
        <w:keepNext w:val="0"/>
        <w:keepLines w:val="0"/>
        <w:pageBreakBefore w:val="0"/>
        <w:widowControl w:val="0"/>
        <w:kinsoku/>
        <w:wordWrap/>
        <w:overflowPunct/>
        <w:topLinePunct w:val="0"/>
        <w:autoSpaceDE/>
        <w:autoSpaceDN/>
        <w:bidi w:val="0"/>
        <w:adjustRightInd w:val="0"/>
        <w:snapToGrid w:val="0"/>
        <w:spacing w:line="560" w:lineRule="exact"/>
        <w:ind w:firstLine="602" w:firstLineChars="200"/>
        <w:textAlignment w:val="auto"/>
        <w:rPr>
          <w:rFonts w:hint="eastAsia" w:ascii="仿宋_GB2312" w:hAnsi="仿宋_GB2312" w:eastAsia="仿宋_GB2312" w:cs="仿宋_GB2312"/>
          <w:color w:val="000000" w:themeColor="text1"/>
          <w:sz w:val="30"/>
          <w:szCs w:val="30"/>
          <w:lang w:val="en-US" w:eastAsia="zh-CN"/>
          <w14:textFill>
            <w14:solidFill>
              <w14:schemeClr w14:val="tx1"/>
            </w14:solidFill>
          </w14:textFill>
        </w:rPr>
      </w:pPr>
      <w:r>
        <w:rPr>
          <w:rFonts w:hint="eastAsia" w:ascii="仿宋_GB2312" w:hAnsi="仿宋_GB2312" w:eastAsia="仿宋_GB2312" w:cs="仿宋_GB2312"/>
          <w:b/>
          <w:bCs/>
          <w:color w:val="000000" w:themeColor="text1"/>
          <w:sz w:val="30"/>
          <w:szCs w:val="30"/>
          <w:lang w:val="en-US" w:eastAsia="zh-CN"/>
          <w14:textFill>
            <w14:solidFill>
              <w14:schemeClr w14:val="tx1"/>
            </w14:solidFill>
          </w14:textFill>
        </w:rPr>
        <w:t>做实做强新材料产业，打造百亿级产业集群。</w:t>
      </w:r>
      <w:r>
        <w:rPr>
          <w:rFonts w:hint="eastAsia" w:ascii="仿宋_GB2312" w:hAnsi="仿宋_GB2312" w:eastAsia="仿宋_GB2312" w:cs="仿宋_GB2312"/>
          <w:color w:val="000000" w:themeColor="text1"/>
          <w:sz w:val="30"/>
          <w:szCs w:val="30"/>
          <w:lang w:val="en-US" w:eastAsia="zh-CN"/>
          <w14:textFill>
            <w14:solidFill>
              <w14:schemeClr w14:val="tx1"/>
            </w14:solidFill>
          </w14:textFill>
        </w:rPr>
        <w:t>以“新型合金材料、高端化工材料、前沿新材料”等产业分支为突破，做实做强新材料产业；以合金产业为基础，推进合金产品延链补链，突出发展锰系特种合金、高品质合金等新型合金新材料产业，鼓励发展脱氧剂、还原剂、孕育剂、球化剂等下游高端产品，推动传统合金产业加速转型升级、传统合金产品加速迭代升级；进一步发展电池储能材料、碳基新材料、偶联剂等新材料产品及高端化工材料分支；持续延伸碳基材料、化工材料产业链，发展石墨烯材料、纳米级碳材料、3D打印材料等前沿新材料产业。引导企业大力发展电子级碳化硅材料及制品。到2025年，形成布局合理、特色鲜明、产业集聚的新材料产业发展新格局，发展成为全国重要的特种合金材料基地和绿色化学品材料基地，实现制造业高质量发展的先行产业，产值规模达到800亿元。</w:t>
      </w:r>
    </w:p>
    <w:p>
      <w:pPr>
        <w:keepNext w:val="0"/>
        <w:keepLines w:val="0"/>
        <w:pageBreakBefore w:val="0"/>
        <w:widowControl w:val="0"/>
        <w:kinsoku/>
        <w:wordWrap/>
        <w:overflowPunct/>
        <w:topLinePunct w:val="0"/>
        <w:autoSpaceDE/>
        <w:autoSpaceDN/>
        <w:bidi w:val="0"/>
        <w:adjustRightInd w:val="0"/>
        <w:snapToGrid w:val="0"/>
        <w:spacing w:line="560" w:lineRule="exact"/>
        <w:ind w:firstLine="556" w:firstLineChars="200"/>
        <w:textAlignment w:val="auto"/>
        <w:rPr>
          <w:rFonts w:hint="eastAsia" w:ascii="仿宋_GB2312" w:hAnsi="仿宋_GB2312" w:eastAsia="仿宋_GB2312" w:cs="仿宋_GB2312"/>
          <w:bCs/>
          <w:color w:val="000000" w:themeColor="text1"/>
          <w:sz w:val="30"/>
          <w:szCs w:val="30"/>
          <w:lang w:val="en-US" w:eastAsia="zh-CN"/>
          <w14:textFill>
            <w14:solidFill>
              <w14:schemeClr w14:val="tx1"/>
            </w14:solidFill>
          </w14:textFill>
        </w:rPr>
      </w:pPr>
      <w:r>
        <w:rPr>
          <w:rFonts w:hint="eastAsia" w:ascii="仿宋_GB2312" w:hAnsi="仿宋_GB2312" w:eastAsia="仿宋_GB2312" w:cs="仿宋_GB2312"/>
          <w:b/>
          <w:color w:val="000000" w:themeColor="text1"/>
          <w:spacing w:val="-4"/>
          <w:w w:val="95"/>
          <w:sz w:val="30"/>
          <w:szCs w:val="30"/>
          <w:lang w:val="en-US" w:eastAsia="zh-CN"/>
          <w14:textFill>
            <w14:solidFill>
              <w14:schemeClr w14:val="tx1"/>
            </w14:solidFill>
          </w14:textFill>
        </w:rPr>
        <w:t xml:space="preserve"> </w:t>
      </w:r>
      <w:r>
        <w:rPr>
          <w:rFonts w:hint="eastAsia" w:ascii="仿宋_GB2312" w:hAnsi="仿宋_GB2312" w:eastAsia="仿宋_GB2312" w:cs="仿宋_GB2312"/>
          <w:b/>
          <w:bCs w:val="0"/>
          <w:color w:val="000000" w:themeColor="text1"/>
          <w:sz w:val="30"/>
          <w:szCs w:val="30"/>
          <w:lang w:val="en-US" w:eastAsia="zh-CN"/>
          <w14:textFill>
            <w14:solidFill>
              <w14:schemeClr w14:val="tx1"/>
            </w14:solidFill>
          </w14:textFill>
        </w:rPr>
        <w:t>1.多元合金。</w:t>
      </w:r>
      <w:r>
        <w:rPr>
          <w:rFonts w:hint="eastAsia" w:ascii="仿宋_GB2312" w:hAnsi="仿宋_GB2312" w:eastAsia="仿宋_GB2312" w:cs="仿宋_GB2312"/>
          <w:bCs/>
          <w:color w:val="000000" w:themeColor="text1"/>
          <w:sz w:val="30"/>
          <w:szCs w:val="30"/>
          <w14:textFill>
            <w14:solidFill>
              <w14:schemeClr w14:val="tx1"/>
            </w14:solidFill>
          </w14:textFill>
        </w:rPr>
        <w:t>坚持循环发展、错位发展、高端发展，提升装备水平、调整产品结构、延伸产业链条、创新</w:t>
      </w:r>
      <w:r>
        <w:rPr>
          <w:rFonts w:hint="eastAsia" w:ascii="仿宋_GB2312" w:hAnsi="仿宋_GB2312" w:eastAsia="仿宋_GB2312" w:cs="仿宋_GB2312"/>
          <w:bCs/>
          <w:color w:val="000000" w:themeColor="text1"/>
          <w:sz w:val="30"/>
          <w:szCs w:val="30"/>
          <w:lang w:eastAsia="zh-CN"/>
          <w14:textFill>
            <w14:solidFill>
              <w14:schemeClr w14:val="tx1"/>
            </w14:solidFill>
          </w14:textFill>
        </w:rPr>
        <w:t>运营</w:t>
      </w:r>
      <w:r>
        <w:rPr>
          <w:rFonts w:hint="eastAsia" w:ascii="仿宋_GB2312" w:hAnsi="仿宋_GB2312" w:eastAsia="仿宋_GB2312" w:cs="仿宋_GB2312"/>
          <w:bCs/>
          <w:color w:val="000000" w:themeColor="text1"/>
          <w:sz w:val="30"/>
          <w:szCs w:val="30"/>
          <w14:textFill>
            <w14:solidFill>
              <w14:schemeClr w14:val="tx1"/>
            </w14:solidFill>
          </w14:textFill>
        </w:rPr>
        <w:t>模式，推动企业转型升级。</w:t>
      </w:r>
      <w:r>
        <w:rPr>
          <w:rFonts w:hint="eastAsia" w:ascii="仿宋_GB2312" w:hAnsi="仿宋_GB2312" w:eastAsia="仿宋_GB2312" w:cs="仿宋_GB2312"/>
          <w:bCs/>
          <w:color w:val="000000" w:themeColor="text1"/>
          <w:sz w:val="30"/>
          <w:szCs w:val="30"/>
          <w:lang w:val="en-US" w:eastAsia="zh-CN"/>
          <w14:textFill>
            <w14:solidFill>
              <w14:schemeClr w14:val="tx1"/>
            </w14:solidFill>
          </w14:textFill>
        </w:rPr>
        <w:t>到 2025 年，多元合金产业单位产品能耗限额率先在国内达到先进水平。</w:t>
      </w:r>
    </w:p>
    <w:p>
      <w:pPr>
        <w:keepNext w:val="0"/>
        <w:keepLines w:val="0"/>
        <w:pageBreakBefore w:val="0"/>
        <w:widowControl w:val="0"/>
        <w:kinsoku/>
        <w:wordWrap/>
        <w:overflowPunct/>
        <w:topLinePunct w:val="0"/>
        <w:autoSpaceDE/>
        <w:autoSpaceDN/>
        <w:bidi w:val="0"/>
        <w:adjustRightInd w:val="0"/>
        <w:snapToGrid w:val="0"/>
        <w:spacing w:line="560" w:lineRule="exact"/>
        <w:ind w:firstLine="602" w:firstLineChars="200"/>
        <w:textAlignment w:val="auto"/>
        <w:rPr>
          <w:rFonts w:hint="eastAsia" w:ascii="仿宋_GB2312" w:hAnsi="仿宋_GB2312" w:eastAsia="仿宋_GB2312" w:cs="仿宋_GB2312"/>
          <w:bCs/>
          <w:color w:val="000000" w:themeColor="text1"/>
          <w:sz w:val="30"/>
          <w:szCs w:val="30"/>
          <w14:textFill>
            <w14:solidFill>
              <w14:schemeClr w14:val="tx1"/>
            </w14:solidFill>
          </w14:textFill>
        </w:rPr>
      </w:pPr>
      <w:r>
        <w:rPr>
          <w:rFonts w:hint="eastAsia" w:ascii="仿宋_GB2312" w:hAnsi="仿宋_GB2312" w:eastAsia="仿宋_GB2312" w:cs="仿宋_GB2312"/>
          <w:b/>
          <w:bCs w:val="0"/>
          <w:color w:val="000000" w:themeColor="text1"/>
          <w:sz w:val="30"/>
          <w:szCs w:val="30"/>
          <w:lang w:eastAsia="zh-CN"/>
          <w14:textFill>
            <w14:solidFill>
              <w14:schemeClr w14:val="tx1"/>
            </w14:solidFill>
          </w14:textFill>
        </w:rPr>
        <w:t>发挥行业协会作用。</w:t>
      </w:r>
      <w:r>
        <w:rPr>
          <w:rFonts w:hint="eastAsia" w:ascii="仿宋_GB2312" w:hAnsi="仿宋_GB2312" w:eastAsia="仿宋_GB2312" w:cs="仿宋_GB2312"/>
          <w:b w:val="0"/>
          <w:bCs/>
          <w:color w:val="000000" w:themeColor="text1"/>
          <w:sz w:val="30"/>
          <w:szCs w:val="30"/>
          <w14:textFill>
            <w14:solidFill>
              <w14:schemeClr w14:val="tx1"/>
            </w14:solidFill>
          </w14:textFill>
        </w:rPr>
        <w:t>鼓励企业“抱团出海”</w:t>
      </w:r>
      <w:r>
        <w:rPr>
          <w:rFonts w:hint="eastAsia" w:ascii="仿宋_GB2312" w:hAnsi="仿宋_GB2312" w:eastAsia="仿宋_GB2312" w:cs="仿宋_GB2312"/>
          <w:b w:val="0"/>
          <w:bCs/>
          <w:color w:val="000000" w:themeColor="text1"/>
          <w:sz w:val="30"/>
          <w:szCs w:val="30"/>
          <w:lang w:eastAsia="zh-CN"/>
          <w14:textFill>
            <w14:solidFill>
              <w14:schemeClr w14:val="tx1"/>
            </w14:solidFill>
          </w14:textFill>
        </w:rPr>
        <w:t>，发挥协会作用，形成行业自律规范，制定行业标准，在技术研发、产品定价等方面形成合力，争取建立地区统一的外销网络，提升产品竞争力。借助中信证券期货库和</w:t>
      </w:r>
      <w:r>
        <w:rPr>
          <w:rFonts w:hint="eastAsia" w:ascii="仿宋_GB2312" w:hAnsi="仿宋_GB2312" w:eastAsia="仿宋_GB2312" w:cs="仿宋_GB2312"/>
          <w:b w:val="0"/>
          <w:bCs/>
          <w:color w:val="000000" w:themeColor="text1"/>
          <w:sz w:val="30"/>
          <w:szCs w:val="30"/>
          <w:lang w:val="en-US" w:eastAsia="zh-CN"/>
          <w14:textFill>
            <w14:solidFill>
              <w14:schemeClr w14:val="tx1"/>
            </w14:solidFill>
          </w14:textFill>
        </w:rPr>
        <w:t>B型保税库的集聚优势，</w:t>
      </w:r>
      <w:r>
        <w:rPr>
          <w:rFonts w:hint="eastAsia" w:ascii="仿宋_GB2312" w:hAnsi="仿宋_GB2312" w:eastAsia="仿宋_GB2312" w:cs="仿宋_GB2312"/>
          <w:b w:val="0"/>
          <w:bCs/>
          <w:color w:val="000000" w:themeColor="text1"/>
          <w:sz w:val="30"/>
          <w:szCs w:val="30"/>
          <w:lang w:eastAsia="zh-CN"/>
          <w14:textFill>
            <w14:solidFill>
              <w14:schemeClr w14:val="tx1"/>
            </w14:solidFill>
          </w14:textFill>
        </w:rPr>
        <w:t>鼓励企业统采统销，</w:t>
      </w:r>
      <w:r>
        <w:rPr>
          <w:rFonts w:hint="eastAsia" w:ascii="仿宋_GB2312" w:hAnsi="仿宋_GB2312" w:eastAsia="仿宋_GB2312" w:cs="仿宋_GB2312"/>
          <w:bCs/>
          <w:color w:val="000000" w:themeColor="text1"/>
          <w:sz w:val="30"/>
          <w:szCs w:val="30"/>
          <w:lang w:eastAsia="zh-CN"/>
          <w14:textFill>
            <w14:solidFill>
              <w14:schemeClr w14:val="tx1"/>
            </w14:solidFill>
          </w14:textFill>
        </w:rPr>
        <w:t>发展经济新业态和经营新模式，加快企业资金回款速度，</w:t>
      </w:r>
      <w:r>
        <w:rPr>
          <w:rFonts w:hint="eastAsia" w:ascii="仿宋_GB2312" w:hAnsi="仿宋_GB2312" w:eastAsia="仿宋_GB2312" w:cs="仿宋_GB2312"/>
          <w:b w:val="0"/>
          <w:bCs/>
          <w:color w:val="000000" w:themeColor="text1"/>
          <w:sz w:val="30"/>
          <w:szCs w:val="30"/>
          <w:lang w:eastAsia="zh-CN"/>
          <w14:textFill>
            <w14:solidFill>
              <w14:schemeClr w14:val="tx1"/>
            </w14:solidFill>
          </w14:textFill>
        </w:rPr>
        <w:t>降低企业通关和物流成本，</w:t>
      </w:r>
      <w:r>
        <w:rPr>
          <w:rFonts w:hint="eastAsia" w:ascii="仿宋_GB2312" w:hAnsi="仿宋_GB2312" w:eastAsia="仿宋_GB2312" w:cs="仿宋_GB2312"/>
          <w:bCs/>
          <w:color w:val="000000" w:themeColor="text1"/>
          <w:sz w:val="30"/>
          <w:szCs w:val="30"/>
          <w14:textFill>
            <w14:solidFill>
              <w14:schemeClr w14:val="tx1"/>
            </w14:solidFill>
          </w14:textFill>
        </w:rPr>
        <w:t>提升行业整体竞争能力。</w:t>
      </w:r>
    </w:p>
    <w:p>
      <w:pPr>
        <w:keepNext w:val="0"/>
        <w:keepLines w:val="0"/>
        <w:pageBreakBefore w:val="0"/>
        <w:widowControl w:val="0"/>
        <w:kinsoku/>
        <w:wordWrap/>
        <w:overflowPunct/>
        <w:topLinePunct w:val="0"/>
        <w:autoSpaceDE/>
        <w:autoSpaceDN/>
        <w:bidi w:val="0"/>
        <w:adjustRightInd w:val="0"/>
        <w:snapToGrid w:val="0"/>
        <w:spacing w:line="560" w:lineRule="exact"/>
        <w:ind w:firstLine="602" w:firstLineChars="200"/>
        <w:textAlignment w:val="auto"/>
        <w:rPr>
          <w:rFonts w:hint="eastAsia" w:ascii="仿宋_GB2312" w:hAnsi="仿宋_GB2312" w:eastAsia="仿宋_GB2312" w:cs="仿宋_GB2312"/>
          <w:bCs/>
          <w:color w:val="000000" w:themeColor="text1"/>
          <w:sz w:val="30"/>
          <w:szCs w:val="30"/>
          <w:lang w:val="en-US" w:eastAsia="zh-CN"/>
          <w14:textFill>
            <w14:solidFill>
              <w14:schemeClr w14:val="tx1"/>
            </w14:solidFill>
          </w14:textFill>
        </w:rPr>
      </w:pPr>
      <w:r>
        <w:rPr>
          <w:rFonts w:hint="eastAsia" w:ascii="仿宋_GB2312" w:hAnsi="仿宋_GB2312" w:eastAsia="仿宋_GB2312" w:cs="仿宋_GB2312"/>
          <w:b/>
          <w:bCs w:val="0"/>
          <w:color w:val="000000" w:themeColor="text1"/>
          <w:sz w:val="30"/>
          <w:szCs w:val="30"/>
          <w:lang w:eastAsia="zh-CN"/>
          <w14:textFill>
            <w14:solidFill>
              <w14:schemeClr w14:val="tx1"/>
            </w14:solidFill>
          </w14:textFill>
        </w:rPr>
        <w:t>鼓励企业招大引强。</w:t>
      </w:r>
      <w:r>
        <w:rPr>
          <w:rFonts w:hint="eastAsia" w:ascii="仿宋_GB2312" w:hAnsi="仿宋_GB2312" w:eastAsia="仿宋_GB2312" w:cs="仿宋_GB2312"/>
          <w:bCs/>
          <w:color w:val="000000" w:themeColor="text1"/>
          <w:sz w:val="30"/>
          <w:szCs w:val="30"/>
          <w14:textFill>
            <w14:solidFill>
              <w14:schemeClr w14:val="tx1"/>
            </w14:solidFill>
          </w14:textFill>
        </w:rPr>
        <w:t>支持晟晏实业、吉元冶金、万顺冶金等骨干企业</w:t>
      </w:r>
      <w:r>
        <w:rPr>
          <w:rFonts w:hint="eastAsia" w:ascii="仿宋_GB2312" w:hAnsi="仿宋_GB2312" w:eastAsia="仿宋_GB2312" w:cs="仿宋_GB2312"/>
          <w:bCs/>
          <w:color w:val="000000" w:themeColor="text1"/>
          <w:sz w:val="30"/>
          <w:szCs w:val="30"/>
          <w:lang w:eastAsia="zh-CN"/>
          <w14:textFill>
            <w14:solidFill>
              <w14:schemeClr w14:val="tx1"/>
            </w14:solidFill>
          </w14:textFill>
        </w:rPr>
        <w:t>招大引强</w:t>
      </w:r>
      <w:r>
        <w:rPr>
          <w:rFonts w:hint="eastAsia" w:ascii="仿宋_GB2312" w:hAnsi="仿宋_GB2312" w:eastAsia="仿宋_GB2312" w:cs="仿宋_GB2312"/>
          <w:bCs/>
          <w:color w:val="000000" w:themeColor="text1"/>
          <w:sz w:val="30"/>
          <w:szCs w:val="30"/>
          <w14:textFill>
            <w14:solidFill>
              <w14:schemeClr w14:val="tx1"/>
            </w14:solidFill>
          </w14:textFill>
        </w:rPr>
        <w:t>，通过股权并购、资产收购等方式</w:t>
      </w:r>
      <w:r>
        <w:rPr>
          <w:rFonts w:hint="eastAsia" w:ascii="仿宋_GB2312" w:hAnsi="仿宋_GB2312" w:eastAsia="仿宋_GB2312" w:cs="仿宋_GB2312"/>
          <w:bCs/>
          <w:color w:val="000000" w:themeColor="text1"/>
          <w:sz w:val="30"/>
          <w:szCs w:val="30"/>
          <w:lang w:eastAsia="zh-CN"/>
          <w14:textFill>
            <w14:solidFill>
              <w14:schemeClr w14:val="tx1"/>
            </w14:solidFill>
          </w14:textFill>
        </w:rPr>
        <w:t>合作经营、强强联合</w:t>
      </w:r>
      <w:r>
        <w:rPr>
          <w:rFonts w:hint="eastAsia" w:ascii="仿宋_GB2312" w:hAnsi="仿宋_GB2312" w:eastAsia="仿宋_GB2312" w:cs="仿宋_GB2312"/>
          <w:bCs/>
          <w:color w:val="000000" w:themeColor="text1"/>
          <w:sz w:val="30"/>
          <w:szCs w:val="30"/>
          <w14:textFill>
            <w14:solidFill>
              <w14:schemeClr w14:val="tx1"/>
            </w14:solidFill>
          </w14:textFill>
        </w:rPr>
        <w:t>，组建产业联盟</w:t>
      </w:r>
      <w:r>
        <w:rPr>
          <w:rFonts w:hint="eastAsia" w:ascii="仿宋_GB2312" w:hAnsi="仿宋_GB2312" w:eastAsia="仿宋_GB2312" w:cs="仿宋_GB2312"/>
          <w:bCs/>
          <w:color w:val="000000" w:themeColor="text1"/>
          <w:sz w:val="30"/>
          <w:szCs w:val="30"/>
          <w:lang w:eastAsia="zh-CN"/>
          <w14:textFill>
            <w14:solidFill>
              <w14:schemeClr w14:val="tx1"/>
            </w14:solidFill>
          </w14:textFill>
        </w:rPr>
        <w:t>、</w:t>
      </w:r>
      <w:r>
        <w:rPr>
          <w:rFonts w:hint="eastAsia" w:ascii="仿宋_GB2312" w:hAnsi="仿宋_GB2312" w:eastAsia="仿宋_GB2312" w:cs="仿宋_GB2312"/>
          <w:bCs/>
          <w:color w:val="000000" w:themeColor="text1"/>
          <w:sz w:val="30"/>
          <w:szCs w:val="30"/>
          <w14:textFill>
            <w14:solidFill>
              <w14:schemeClr w14:val="tx1"/>
            </w14:solidFill>
          </w14:textFill>
        </w:rPr>
        <w:t>培育企业集团，</w:t>
      </w:r>
      <w:r>
        <w:rPr>
          <w:rFonts w:hint="eastAsia" w:ascii="仿宋_GB2312" w:hAnsi="仿宋_GB2312" w:eastAsia="仿宋_GB2312" w:cs="仿宋_GB2312"/>
          <w:bCs/>
          <w:color w:val="000000" w:themeColor="text1"/>
          <w:sz w:val="30"/>
          <w:szCs w:val="30"/>
          <w:lang w:eastAsia="zh-CN"/>
          <w14:textFill>
            <w14:solidFill>
              <w14:schemeClr w14:val="tx1"/>
            </w14:solidFill>
          </w14:textFill>
        </w:rPr>
        <w:t>增强抵御风险能力。支持骨干企业积极与产业链上下游企业开展合作，</w:t>
      </w:r>
      <w:r>
        <w:rPr>
          <w:rFonts w:hint="eastAsia" w:ascii="仿宋_GB2312" w:hAnsi="仿宋_GB2312" w:eastAsia="仿宋_GB2312" w:cs="仿宋_GB2312"/>
          <w:bCs/>
          <w:color w:val="000000" w:themeColor="text1"/>
          <w:sz w:val="30"/>
          <w:szCs w:val="30"/>
          <w14:textFill>
            <w14:solidFill>
              <w14:schemeClr w14:val="tx1"/>
            </w14:solidFill>
          </w14:textFill>
        </w:rPr>
        <w:t>通过购销联动、共建共享利益纽带</w:t>
      </w:r>
      <w:r>
        <w:rPr>
          <w:rFonts w:hint="eastAsia" w:ascii="仿宋_GB2312" w:hAnsi="仿宋_GB2312" w:eastAsia="仿宋_GB2312" w:cs="仿宋_GB2312"/>
          <w:bCs/>
          <w:color w:val="000000" w:themeColor="text1"/>
          <w:sz w:val="30"/>
          <w:szCs w:val="30"/>
          <w:lang w:eastAsia="zh-CN"/>
          <w14:textFill>
            <w14:solidFill>
              <w14:schemeClr w14:val="tx1"/>
            </w14:solidFill>
          </w14:textFill>
        </w:rPr>
        <w:t>等措施，</w:t>
      </w:r>
      <w:r>
        <w:rPr>
          <w:rFonts w:hint="eastAsia" w:ascii="仿宋_GB2312" w:hAnsi="仿宋_GB2312" w:eastAsia="仿宋_GB2312" w:cs="仿宋_GB2312"/>
          <w:bCs/>
          <w:color w:val="000000" w:themeColor="text1"/>
          <w:sz w:val="30"/>
          <w:szCs w:val="30"/>
          <w14:textFill>
            <w14:solidFill>
              <w14:schemeClr w14:val="tx1"/>
            </w14:solidFill>
          </w14:textFill>
        </w:rPr>
        <w:t>形成稳固的供应链条。</w:t>
      </w:r>
    </w:p>
    <w:p>
      <w:pPr>
        <w:keepNext w:val="0"/>
        <w:keepLines w:val="0"/>
        <w:pageBreakBefore w:val="0"/>
        <w:widowControl w:val="0"/>
        <w:kinsoku/>
        <w:wordWrap/>
        <w:overflowPunct/>
        <w:topLinePunct w:val="0"/>
        <w:autoSpaceDE/>
        <w:autoSpaceDN/>
        <w:bidi w:val="0"/>
        <w:adjustRightInd w:val="0"/>
        <w:snapToGrid w:val="0"/>
        <w:spacing w:line="560" w:lineRule="exact"/>
        <w:ind w:firstLine="641"/>
        <w:textAlignment w:val="auto"/>
        <w:rPr>
          <w:rFonts w:hint="eastAsia" w:ascii="仿宋_GB2312" w:hAnsi="仿宋_GB2312" w:eastAsia="仿宋_GB2312" w:cs="仿宋_GB2312"/>
          <w:bCs/>
          <w:color w:val="000000" w:themeColor="text1"/>
          <w:sz w:val="30"/>
          <w:szCs w:val="30"/>
          <w14:textFill>
            <w14:solidFill>
              <w14:schemeClr w14:val="tx1"/>
            </w14:solidFill>
          </w14:textFill>
        </w:rPr>
      </w:pPr>
      <w:r>
        <w:rPr>
          <w:rFonts w:hint="eastAsia" w:ascii="仿宋_GB2312" w:hAnsi="仿宋_GB2312" w:eastAsia="仿宋_GB2312" w:cs="仿宋_GB2312"/>
          <w:b/>
          <w:bCs w:val="0"/>
          <w:color w:val="000000" w:themeColor="text1"/>
          <w:sz w:val="30"/>
          <w:szCs w:val="30"/>
          <w:lang w:eastAsia="zh-CN"/>
          <w14:textFill>
            <w14:solidFill>
              <w14:schemeClr w14:val="tx1"/>
            </w14:solidFill>
          </w14:textFill>
        </w:rPr>
        <w:t>支持企业科技创新。</w:t>
      </w:r>
      <w:r>
        <w:rPr>
          <w:rFonts w:hint="eastAsia" w:ascii="仿宋_GB2312" w:hAnsi="仿宋_GB2312" w:eastAsia="仿宋_GB2312" w:cs="仿宋_GB2312"/>
          <w:b w:val="0"/>
          <w:bCs/>
          <w:color w:val="000000" w:themeColor="text1"/>
          <w:sz w:val="30"/>
          <w:szCs w:val="30"/>
          <w:lang w:eastAsia="zh-CN"/>
          <w14:textFill>
            <w14:solidFill>
              <w14:schemeClr w14:val="tx1"/>
            </w14:solidFill>
          </w14:textFill>
        </w:rPr>
        <w:t>企业</w:t>
      </w:r>
      <w:r>
        <w:rPr>
          <w:rFonts w:hint="eastAsia" w:ascii="仿宋_GB2312" w:hAnsi="仿宋_GB2312" w:eastAsia="仿宋_GB2312" w:cs="仿宋_GB2312"/>
          <w:bCs/>
          <w:color w:val="000000" w:themeColor="text1"/>
          <w:sz w:val="30"/>
          <w:szCs w:val="30"/>
          <w:lang w:eastAsia="zh-CN"/>
          <w14:textFill>
            <w14:solidFill>
              <w14:schemeClr w14:val="tx1"/>
            </w14:solidFill>
          </w14:textFill>
        </w:rPr>
        <w:t>建立</w:t>
      </w:r>
      <w:r>
        <w:rPr>
          <w:rFonts w:hint="eastAsia" w:ascii="仿宋_GB2312" w:hAnsi="仿宋_GB2312" w:eastAsia="仿宋_GB2312" w:cs="仿宋_GB2312"/>
          <w:b w:val="0"/>
          <w:bCs/>
          <w:color w:val="000000" w:themeColor="text1"/>
          <w:sz w:val="30"/>
          <w:szCs w:val="30"/>
          <w:lang w:eastAsia="zh-CN"/>
          <w14:textFill>
            <w14:solidFill>
              <w14:schemeClr w14:val="tx1"/>
            </w14:solidFill>
          </w14:textFill>
        </w:rPr>
        <w:t>冶金云平台实现全覆盖，推动信息化、智能化应用从生产外围环节向生产核心环节延伸，</w:t>
      </w:r>
      <w:r>
        <w:rPr>
          <w:rFonts w:hint="eastAsia" w:ascii="仿宋_GB2312" w:hAnsi="仿宋_GB2312" w:eastAsia="仿宋_GB2312" w:cs="仿宋_GB2312"/>
          <w:bCs/>
          <w:color w:val="000000" w:themeColor="text1"/>
          <w:sz w:val="30"/>
          <w:szCs w:val="30"/>
          <w:lang w:eastAsia="zh-CN"/>
          <w14:textFill>
            <w14:solidFill>
              <w14:schemeClr w14:val="tx1"/>
            </w14:solidFill>
          </w14:textFill>
        </w:rPr>
        <w:t>通过“机器换人”、浇筑模具改造等优化</w:t>
      </w:r>
      <w:r>
        <w:rPr>
          <w:rFonts w:hint="eastAsia" w:ascii="仿宋_GB2312" w:hAnsi="仿宋_GB2312" w:eastAsia="仿宋_GB2312" w:cs="仿宋_GB2312"/>
          <w:b w:val="0"/>
          <w:bCs/>
          <w:color w:val="000000" w:themeColor="text1"/>
          <w:sz w:val="30"/>
          <w:szCs w:val="30"/>
          <w:lang w:eastAsia="zh-CN"/>
          <w14:textFill>
            <w14:solidFill>
              <w14:schemeClr w14:val="tx1"/>
            </w14:solidFill>
          </w14:textFill>
        </w:rPr>
        <w:t>工艺</w:t>
      </w:r>
      <w:r>
        <w:rPr>
          <w:rFonts w:hint="eastAsia" w:ascii="仿宋_GB2312" w:hAnsi="仿宋_GB2312" w:eastAsia="仿宋_GB2312" w:cs="仿宋_GB2312"/>
          <w:bCs/>
          <w:color w:val="000000" w:themeColor="text1"/>
          <w:sz w:val="30"/>
          <w:szCs w:val="30"/>
          <w:lang w:eastAsia="zh-CN"/>
          <w14:textFill>
            <w14:solidFill>
              <w14:schemeClr w14:val="tx1"/>
            </w14:solidFill>
          </w14:textFill>
        </w:rPr>
        <w:t>环节</w:t>
      </w:r>
      <w:r>
        <w:rPr>
          <w:rFonts w:hint="eastAsia" w:ascii="仿宋_GB2312" w:hAnsi="仿宋_GB2312" w:eastAsia="仿宋_GB2312" w:cs="仿宋_GB2312"/>
          <w:b w:val="0"/>
          <w:bCs/>
          <w:color w:val="000000" w:themeColor="text1"/>
          <w:sz w:val="30"/>
          <w:szCs w:val="30"/>
          <w:lang w:eastAsia="zh-CN"/>
          <w14:textFill>
            <w14:solidFill>
              <w14:schemeClr w14:val="tx1"/>
            </w14:solidFill>
          </w14:textFill>
        </w:rPr>
        <w:t>，促进节能减排，提高技术装备和安全环保水平。</w:t>
      </w:r>
      <w:r>
        <w:rPr>
          <w:rFonts w:hint="eastAsia" w:ascii="仿宋_GB2312" w:hAnsi="仿宋_GB2312" w:eastAsia="仿宋_GB2312" w:cs="仿宋_GB2312"/>
          <w:bCs/>
          <w:color w:val="000000" w:themeColor="text1"/>
          <w:sz w:val="30"/>
          <w:szCs w:val="30"/>
          <w14:textFill>
            <w14:solidFill>
              <w14:schemeClr w14:val="tx1"/>
            </w14:solidFill>
          </w14:textFill>
        </w:rPr>
        <w:t>在巩固硅铁、硅锰普通合金产品市场占有率的基础上，鼓励发展高硅硅锰、稀土合金等特种合金炉料，延伸发展孕育剂、球化剂、蠕化剂、包芯线等高附加值产品。</w:t>
      </w:r>
    </w:p>
    <w:p>
      <w:pPr>
        <w:keepNext w:val="0"/>
        <w:keepLines w:val="0"/>
        <w:pageBreakBefore w:val="0"/>
        <w:widowControl w:val="0"/>
        <w:kinsoku/>
        <w:wordWrap/>
        <w:overflowPunct/>
        <w:topLinePunct w:val="0"/>
        <w:autoSpaceDE/>
        <w:autoSpaceDN/>
        <w:bidi w:val="0"/>
        <w:adjustRightInd w:val="0"/>
        <w:snapToGrid w:val="0"/>
        <w:spacing w:line="560" w:lineRule="exact"/>
        <w:ind w:firstLine="641"/>
        <w:textAlignment w:val="auto"/>
        <w:rPr>
          <w:rFonts w:hint="eastAsia" w:ascii="仿宋_GB2312" w:hAnsi="仿宋_GB2312" w:eastAsia="仿宋_GB2312" w:cs="仿宋_GB2312"/>
          <w:bCs/>
          <w:color w:val="000000" w:themeColor="text1"/>
          <w:sz w:val="30"/>
          <w:szCs w:val="30"/>
          <w:lang w:val="en-US" w:eastAsia="zh-CN"/>
          <w14:textFill>
            <w14:solidFill>
              <w14:schemeClr w14:val="tx1"/>
            </w14:solidFill>
          </w14:textFill>
        </w:rPr>
      </w:pPr>
      <w:r>
        <w:rPr>
          <w:rFonts w:hint="eastAsia" w:ascii="仿宋_GB2312" w:hAnsi="仿宋_GB2312" w:eastAsia="仿宋_GB2312" w:cs="仿宋_GB2312"/>
          <w:b/>
          <w:bCs w:val="0"/>
          <w:color w:val="000000" w:themeColor="text1"/>
          <w:sz w:val="30"/>
          <w:szCs w:val="30"/>
          <w:lang w:eastAsia="zh-CN"/>
          <w14:textFill>
            <w14:solidFill>
              <w14:schemeClr w14:val="tx1"/>
            </w14:solidFill>
          </w14:textFill>
        </w:rPr>
        <w:t>鼓励发展循环经济。</w:t>
      </w:r>
      <w:r>
        <w:rPr>
          <w:rFonts w:hint="eastAsia" w:ascii="仿宋_GB2312" w:hAnsi="仿宋_GB2312" w:eastAsia="仿宋_GB2312" w:cs="仿宋_GB2312"/>
          <w:bCs/>
          <w:color w:val="000000" w:themeColor="text1"/>
          <w:sz w:val="30"/>
          <w:szCs w:val="30"/>
          <w:lang w:eastAsia="zh-CN"/>
          <w14:textFill>
            <w14:solidFill>
              <w14:schemeClr w14:val="tx1"/>
            </w14:solidFill>
          </w14:textFill>
        </w:rPr>
        <w:t>鼓励企业综合利用冶金废渣、废气，形成</w:t>
      </w:r>
      <w:r>
        <w:rPr>
          <w:rFonts w:hint="eastAsia" w:ascii="仿宋_GB2312" w:hAnsi="仿宋_GB2312" w:eastAsia="仿宋_GB2312" w:cs="仿宋_GB2312"/>
          <w:bCs/>
          <w:color w:val="000000" w:themeColor="text1"/>
          <w:sz w:val="30"/>
          <w:szCs w:val="30"/>
          <w14:textFill>
            <w14:solidFill>
              <w14:schemeClr w14:val="tx1"/>
            </w14:solidFill>
          </w14:textFill>
        </w:rPr>
        <w:t>资源高效和循环利用的</w:t>
      </w:r>
      <w:r>
        <w:rPr>
          <w:rFonts w:hint="eastAsia" w:ascii="仿宋_GB2312" w:hAnsi="仿宋_GB2312" w:eastAsia="仿宋_GB2312" w:cs="仿宋_GB2312"/>
          <w:bCs/>
          <w:color w:val="000000" w:themeColor="text1"/>
          <w:sz w:val="30"/>
          <w:szCs w:val="30"/>
          <w:lang w:eastAsia="zh-CN"/>
          <w14:textFill>
            <w14:solidFill>
              <w14:schemeClr w14:val="tx1"/>
            </w14:solidFill>
          </w14:textFill>
        </w:rPr>
        <w:t>绿色发展</w:t>
      </w:r>
      <w:r>
        <w:rPr>
          <w:rFonts w:hint="eastAsia" w:ascii="仿宋_GB2312" w:hAnsi="仿宋_GB2312" w:eastAsia="仿宋_GB2312" w:cs="仿宋_GB2312"/>
          <w:bCs/>
          <w:color w:val="000000" w:themeColor="text1"/>
          <w:sz w:val="30"/>
          <w:szCs w:val="30"/>
          <w14:textFill>
            <w14:solidFill>
              <w14:schemeClr w14:val="tx1"/>
            </w14:solidFill>
          </w14:textFill>
        </w:rPr>
        <w:t>模式，实现污染的低排放甚至零排放。扩大硅锰渣制矿棉、水泥添加剂、空心砌砖</w:t>
      </w:r>
      <w:r>
        <w:rPr>
          <w:rFonts w:hint="eastAsia" w:ascii="仿宋_GB2312" w:hAnsi="仿宋_GB2312" w:eastAsia="仿宋_GB2312" w:cs="仿宋_GB2312"/>
          <w:bCs/>
          <w:color w:val="000000" w:themeColor="text1"/>
          <w:sz w:val="30"/>
          <w:szCs w:val="30"/>
          <w:lang w:eastAsia="zh-CN"/>
          <w14:textFill>
            <w14:solidFill>
              <w14:schemeClr w14:val="tx1"/>
            </w14:solidFill>
          </w14:textFill>
        </w:rPr>
        <w:t>、</w:t>
      </w:r>
      <w:r>
        <w:rPr>
          <w:rFonts w:hint="eastAsia" w:ascii="仿宋_GB2312" w:hAnsi="仿宋_GB2312" w:eastAsia="仿宋_GB2312" w:cs="仿宋_GB2312"/>
          <w:bCs/>
          <w:color w:val="000000" w:themeColor="text1"/>
          <w:sz w:val="30"/>
          <w:szCs w:val="30"/>
          <w14:textFill>
            <w14:solidFill>
              <w14:schemeClr w14:val="tx1"/>
            </w14:solidFill>
          </w14:textFill>
        </w:rPr>
        <w:t>砂石骨料、无土栽培等生产规模，争取将</w:t>
      </w:r>
      <w:r>
        <w:rPr>
          <w:rFonts w:hint="eastAsia" w:ascii="仿宋_GB2312" w:hAnsi="仿宋_GB2312" w:eastAsia="仿宋_GB2312" w:cs="仿宋_GB2312"/>
          <w:bCs/>
          <w:color w:val="000000" w:themeColor="text1"/>
          <w:sz w:val="30"/>
          <w:szCs w:val="30"/>
          <w:lang w:eastAsia="zh-CN"/>
          <w14:textFill>
            <w14:solidFill>
              <w14:schemeClr w14:val="tx1"/>
            </w14:solidFill>
          </w14:textFill>
        </w:rPr>
        <w:t>每年产生的冶金</w:t>
      </w:r>
      <w:r>
        <w:rPr>
          <w:rFonts w:hint="eastAsia" w:ascii="仿宋_GB2312" w:hAnsi="仿宋_GB2312" w:eastAsia="仿宋_GB2312" w:cs="仿宋_GB2312"/>
          <w:bCs/>
          <w:color w:val="000000" w:themeColor="text1"/>
          <w:sz w:val="30"/>
          <w:szCs w:val="30"/>
          <w14:textFill>
            <w14:solidFill>
              <w14:schemeClr w14:val="tx1"/>
            </w14:solidFill>
          </w14:textFill>
        </w:rPr>
        <w:t>废渣吃干榨尽</w:t>
      </w:r>
      <w:r>
        <w:rPr>
          <w:rFonts w:hint="eastAsia" w:ascii="仿宋_GB2312" w:hAnsi="仿宋_GB2312" w:eastAsia="仿宋_GB2312" w:cs="仿宋_GB2312"/>
          <w:bCs/>
          <w:color w:val="000000" w:themeColor="text1"/>
          <w:sz w:val="30"/>
          <w:szCs w:val="30"/>
          <w:lang w:eastAsia="zh-CN"/>
          <w14:textFill>
            <w14:solidFill>
              <w14:schemeClr w14:val="tx1"/>
            </w14:solidFill>
          </w14:textFill>
        </w:rPr>
        <w:t>。鼓励冶金</w:t>
      </w:r>
      <w:r>
        <w:rPr>
          <w:rFonts w:hint="eastAsia" w:ascii="仿宋_GB2312" w:hAnsi="仿宋_GB2312" w:eastAsia="仿宋_GB2312" w:cs="仿宋_GB2312"/>
          <w:bCs/>
          <w:color w:val="000000" w:themeColor="text1"/>
          <w:sz w:val="30"/>
          <w:szCs w:val="30"/>
          <w:lang w:val="en-US" w:eastAsia="zh-CN"/>
          <w14:textFill>
            <w14:solidFill>
              <w14:schemeClr w14:val="tx1"/>
            </w14:solidFill>
          </w14:textFill>
        </w:rPr>
        <w:t>企业积极与首钢郎泽公司合作，利用</w:t>
      </w:r>
      <w:r>
        <w:rPr>
          <w:rFonts w:hint="eastAsia" w:ascii="仿宋_GB2312" w:hAnsi="仿宋_GB2312" w:eastAsia="仿宋_GB2312" w:cs="仿宋_GB2312"/>
          <w:bCs/>
          <w:color w:val="000000" w:themeColor="text1"/>
          <w:sz w:val="30"/>
          <w:szCs w:val="30"/>
          <w14:textFill>
            <w14:solidFill>
              <w14:schemeClr w14:val="tx1"/>
            </w14:solidFill>
          </w14:textFill>
        </w:rPr>
        <w:t>生物发酵</w:t>
      </w:r>
      <w:r>
        <w:rPr>
          <w:rFonts w:hint="eastAsia" w:ascii="仿宋_GB2312" w:hAnsi="仿宋_GB2312" w:eastAsia="仿宋_GB2312" w:cs="仿宋_GB2312"/>
          <w:bCs/>
          <w:color w:val="000000" w:themeColor="text1"/>
          <w:sz w:val="30"/>
          <w:szCs w:val="30"/>
          <w:lang w:eastAsia="zh-CN"/>
          <w14:textFill>
            <w14:solidFill>
              <w14:schemeClr w14:val="tx1"/>
            </w14:solidFill>
          </w14:textFill>
        </w:rPr>
        <w:t>先进</w:t>
      </w:r>
      <w:r>
        <w:rPr>
          <w:rFonts w:hint="eastAsia" w:ascii="仿宋_GB2312" w:hAnsi="仿宋_GB2312" w:eastAsia="仿宋_GB2312" w:cs="仿宋_GB2312"/>
          <w:bCs/>
          <w:color w:val="000000" w:themeColor="text1"/>
          <w:sz w:val="30"/>
          <w:szCs w:val="30"/>
          <w14:textFill>
            <w14:solidFill>
              <w14:schemeClr w14:val="tx1"/>
            </w14:solidFill>
          </w14:textFill>
        </w:rPr>
        <w:t>技术直接将硅锰合金尾气转化为燃料乙醇、蛋白饲料等产品，</w:t>
      </w:r>
      <w:r>
        <w:rPr>
          <w:rFonts w:hint="eastAsia" w:ascii="仿宋_GB2312" w:hAnsi="仿宋_GB2312" w:eastAsia="仿宋_GB2312" w:cs="仿宋_GB2312"/>
          <w:bCs/>
          <w:color w:val="000000" w:themeColor="text1"/>
          <w:sz w:val="30"/>
          <w:szCs w:val="30"/>
          <w:lang w:eastAsia="zh-CN"/>
          <w14:textFill>
            <w14:solidFill>
              <w14:schemeClr w14:val="tx1"/>
            </w14:solidFill>
          </w14:textFill>
        </w:rPr>
        <w:t>提高产品</w:t>
      </w:r>
      <w:r>
        <w:rPr>
          <w:rFonts w:hint="eastAsia" w:ascii="仿宋_GB2312" w:hAnsi="仿宋_GB2312" w:eastAsia="仿宋_GB2312" w:cs="仿宋_GB2312"/>
          <w:bCs/>
          <w:color w:val="000000" w:themeColor="text1"/>
          <w:sz w:val="30"/>
          <w:szCs w:val="30"/>
          <w14:textFill>
            <w14:solidFill>
              <w14:schemeClr w14:val="tx1"/>
            </w14:solidFill>
          </w14:textFill>
        </w:rPr>
        <w:t>附加值。</w:t>
      </w:r>
    </w:p>
    <w:p>
      <w:pPr>
        <w:pStyle w:val="8"/>
        <w:keepNext w:val="0"/>
        <w:keepLines w:val="0"/>
        <w:pageBreakBefore w:val="0"/>
        <w:widowControl w:val="0"/>
        <w:tabs>
          <w:tab w:val="left" w:pos="1199"/>
        </w:tabs>
        <w:kinsoku/>
        <w:wordWrap/>
        <w:overflowPunct/>
        <w:topLinePunct w:val="0"/>
        <w:autoSpaceDE/>
        <w:autoSpaceDN/>
        <w:bidi w:val="0"/>
        <w:spacing w:before="150" w:after="22" w:line="560" w:lineRule="exact"/>
        <w:ind w:right="57"/>
        <w:jc w:val="center"/>
        <w:textAlignment w:val="auto"/>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b/>
          <w:bCs/>
          <w:color w:val="000000" w:themeColor="text1"/>
          <w:sz w:val="30"/>
          <w:szCs w:val="30"/>
          <w14:textFill>
            <w14:solidFill>
              <w14:schemeClr w14:val="tx1"/>
            </w14:solidFill>
          </w14:textFill>
        </w:rPr>
        <w:t>专栏</w:t>
      </w:r>
      <w:r>
        <w:rPr>
          <w:rFonts w:hint="eastAsia" w:cs="仿宋_GB2312"/>
          <w:b/>
          <w:bCs/>
          <w:color w:val="000000" w:themeColor="text1"/>
          <w:sz w:val="30"/>
          <w:szCs w:val="30"/>
          <w:lang w:val="en-US" w:eastAsia="zh-CN"/>
          <w14:textFill>
            <w14:solidFill>
              <w14:schemeClr w14:val="tx1"/>
            </w14:solidFill>
          </w14:textFill>
        </w:rPr>
        <w:t>1-</w:t>
      </w:r>
      <w:r>
        <w:rPr>
          <w:rFonts w:hint="eastAsia" w:ascii="仿宋_GB2312" w:hAnsi="仿宋_GB2312" w:eastAsia="仿宋_GB2312" w:cs="仿宋_GB2312"/>
          <w:b/>
          <w:bCs/>
          <w:color w:val="000000" w:themeColor="text1"/>
          <w:sz w:val="30"/>
          <w:szCs w:val="30"/>
          <w:lang w:val="en-US" w:eastAsia="zh-CN"/>
          <w14:textFill>
            <w14:solidFill>
              <w14:schemeClr w14:val="tx1"/>
            </w14:solidFill>
          </w14:textFill>
        </w:rPr>
        <w:t>1</w:t>
      </w:r>
      <w:r>
        <w:rPr>
          <w:rFonts w:hint="eastAsia" w:ascii="仿宋_GB2312" w:hAnsi="仿宋_GB2312" w:eastAsia="仿宋_GB2312" w:cs="仿宋_GB2312"/>
          <w:b/>
          <w:bCs/>
          <w:color w:val="000000" w:themeColor="text1"/>
          <w:sz w:val="30"/>
          <w:szCs w:val="30"/>
          <w14:textFill>
            <w14:solidFill>
              <w14:schemeClr w14:val="tx1"/>
            </w14:solidFill>
          </w14:textFill>
        </w:rPr>
        <w:tab/>
      </w:r>
      <w:r>
        <w:rPr>
          <w:rFonts w:hint="eastAsia" w:ascii="仿宋_GB2312" w:hAnsi="仿宋_GB2312" w:eastAsia="仿宋_GB2312" w:cs="仿宋_GB2312"/>
          <w:b/>
          <w:bCs/>
          <w:color w:val="000000" w:themeColor="text1"/>
          <w:sz w:val="30"/>
          <w:szCs w:val="30"/>
          <w:lang w:eastAsia="zh-CN"/>
          <w14:textFill>
            <w14:solidFill>
              <w14:schemeClr w14:val="tx1"/>
            </w14:solidFill>
          </w14:textFill>
        </w:rPr>
        <w:t>多元</w:t>
      </w:r>
      <w:r>
        <w:rPr>
          <w:rFonts w:hint="eastAsia" w:ascii="仿宋_GB2312" w:hAnsi="仿宋_GB2312" w:eastAsia="仿宋_GB2312" w:cs="仿宋_GB2312"/>
          <w:b/>
          <w:bCs/>
          <w:color w:val="000000" w:themeColor="text1"/>
          <w:sz w:val="30"/>
          <w:szCs w:val="30"/>
          <w14:textFill>
            <w14:solidFill>
              <w14:schemeClr w14:val="tx1"/>
            </w14:solidFill>
          </w14:textFill>
        </w:rPr>
        <w:t>合金</w:t>
      </w:r>
    </w:p>
    <w:p>
      <w:pPr>
        <w:pStyle w:val="8"/>
        <w:tabs>
          <w:tab w:val="left" w:pos="1199"/>
        </w:tabs>
        <w:spacing w:before="150" w:after="22"/>
        <w:ind w:left="400" w:right="57" w:hanging="400" w:hangingChars="200"/>
        <w:jc w:val="both"/>
        <w:rPr>
          <w:rFonts w:hint="eastAsia" w:ascii="仿宋_GB2312" w:hAnsi="仿宋_GB2312" w:eastAsia="仿宋_GB2312" w:cs="仿宋_GB2312"/>
          <w:color w:val="000000" w:themeColor="text1"/>
          <w:sz w:val="30"/>
          <w:szCs w:val="30"/>
          <w:lang w:val="en-US" w:eastAsia="zh-CN"/>
          <w14:textFill>
            <w14:solidFill>
              <w14:schemeClr w14:val="tx1"/>
            </w14:solidFill>
          </w14:textFill>
        </w:rPr>
      </w:pPr>
      <w:r>
        <w:rPr>
          <w:rFonts w:ascii="黑体" w:hAnsi="仿宋_GB2312" w:eastAsia="仿宋_GB2312" w:cs="仿宋_GB2312"/>
          <w:color w:val="FF0000"/>
          <w:sz w:val="20"/>
          <w:szCs w:val="32"/>
          <w:lang w:val="zh-CN" w:eastAsia="zh-CN" w:bidi="zh-CN"/>
        </w:rPr>
        <mc:AlternateContent>
          <mc:Choice Requires="wps">
            <w:drawing>
              <wp:inline distT="0" distB="0" distL="114300" distR="114300">
                <wp:extent cx="5372100" cy="3287395"/>
                <wp:effectExtent l="4445" t="4445" r="14605" b="22860"/>
                <wp:docPr id="9" name="Quad Arrow 4"/>
                <wp:cNvGraphicFramePr/>
                <a:graphic xmlns:a="http://schemas.openxmlformats.org/drawingml/2006/main">
                  <a:graphicData uri="http://schemas.microsoft.com/office/word/2010/wordprocessingShape">
                    <wps:wsp>
                      <wps:cNvSpPr>
                        <a:spLocks noRot="1"/>
                      </wps:cNvSpPr>
                      <wps:spPr>
                        <a:xfrm>
                          <a:off x="0" y="0"/>
                          <a:ext cx="5372100" cy="3287395"/>
                        </a:xfrm>
                        <a:prstGeom prst="rect">
                          <a:avLst/>
                        </a:prstGeom>
                        <a:noFill/>
                        <a:ln w="6095" cap="flat" cmpd="sng">
                          <a:solidFill>
                            <a:srgbClr val="000000"/>
                          </a:solidFill>
                          <a:prstDash val="solid"/>
                          <a:miter/>
                          <a:headEnd type="none" w="med" len="med"/>
                          <a:tailEnd type="none" w="med" len="med"/>
                        </a:ln>
                      </wps:spPr>
                      <wps:txbx>
                        <w:txbxContent>
                          <w:p>
                            <w:pPr>
                              <w:widowControl w:val="0"/>
                              <w:wordWrap/>
                              <w:autoSpaceDE w:val="0"/>
                              <w:autoSpaceDN w:val="0"/>
                              <w:adjustRightInd/>
                              <w:snapToGrid/>
                              <w:spacing w:before="0" w:after="0" w:line="340" w:lineRule="exact"/>
                              <w:ind w:left="103" w:leftChars="0" w:right="0" w:firstLine="0" w:firstLineChars="0"/>
                              <w:jc w:val="left"/>
                              <w:textAlignment w:val="auto"/>
                              <w:outlineLvl w:val="9"/>
                              <w:rPr>
                                <w:rFonts w:hint="eastAsia" w:ascii="仿宋_GB2312" w:hAnsi="仿宋_GB2312" w:eastAsia="仿宋_GB2312" w:cs="仿宋_GB2312"/>
                                <w:b/>
                                <w:sz w:val="24"/>
                                <w:szCs w:val="24"/>
                              </w:rPr>
                            </w:pP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342" w:leftChars="48" w:right="0" w:hanging="241" w:hangingChars="100"/>
                              <w:jc w:val="left"/>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主要产品：</w:t>
                            </w:r>
                            <w:r>
                              <w:rPr>
                                <w:rFonts w:hint="eastAsia" w:ascii="仿宋_GB2312" w:hAnsi="仿宋_GB2312" w:eastAsia="仿宋_GB2312" w:cs="仿宋_GB2312"/>
                                <w:sz w:val="24"/>
                                <w:szCs w:val="24"/>
                                <w:lang w:eastAsia="zh-CN"/>
                              </w:rPr>
                              <w:t>氮化合金、中低碳锰铁</w:t>
                            </w:r>
                            <w:r>
                              <w:rPr>
                                <w:rFonts w:hint="eastAsia" w:ascii="仿宋_GB2312" w:hAnsi="仿宋_GB2312" w:eastAsia="仿宋_GB2312" w:cs="仿宋_GB2312"/>
                                <w:sz w:val="24"/>
                                <w:szCs w:val="24"/>
                              </w:rPr>
                              <w:t>、稀土合金、孕育剂、球化剂、蠕化剂、包芯线等。</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330" w:leftChars="48" w:right="93" w:hanging="229" w:hangingChars="100"/>
                              <w:jc w:val="left"/>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b/>
                                <w:w w:val="95"/>
                                <w:sz w:val="24"/>
                                <w:szCs w:val="24"/>
                              </w:rPr>
                              <w:t>产业链：</w:t>
                            </w:r>
                            <w:r>
                              <w:rPr>
                                <w:rFonts w:hint="eastAsia" w:ascii="仿宋_GB2312" w:hAnsi="仿宋_GB2312" w:eastAsia="仿宋_GB2312" w:cs="仿宋_GB2312"/>
                                <w:sz w:val="24"/>
                                <w:szCs w:val="24"/>
                              </w:rPr>
                              <w:t>硅石、铁矿石、焦炭、钢屑—多元合金/孕育剂、球化剂、蠕化剂、包芯线等—废气废渣综合利用。</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102" w:leftChars="0" w:right="0" w:firstLine="0" w:firstLineChars="0"/>
                              <w:jc w:val="left"/>
                              <w:textAlignment w:val="auto"/>
                              <w:outlineLvl w:val="9"/>
                              <w:rPr>
                                <w:rFonts w:hint="eastAsia" w:ascii="仿宋_GB2312" w:hAnsi="仿宋_GB2312" w:eastAsia="仿宋_GB2312" w:cs="仿宋_GB2312"/>
                                <w:color w:val="000000"/>
                                <w:sz w:val="24"/>
                                <w:szCs w:val="24"/>
                              </w:rPr>
                            </w:pPr>
                            <w:r>
                              <w:rPr>
                                <w:rFonts w:hint="eastAsia" w:ascii="仿宋_GB2312" w:hAnsi="仿宋_GB2312" w:eastAsia="仿宋_GB2312" w:cs="仿宋_GB2312"/>
                                <w:b/>
                                <w:sz w:val="24"/>
                                <w:szCs w:val="24"/>
                              </w:rPr>
                              <w:t>对接方向：</w:t>
                            </w:r>
                            <w:r>
                              <w:rPr>
                                <w:rFonts w:hint="eastAsia" w:ascii="仿宋_GB2312" w:hAnsi="仿宋_GB2312" w:eastAsia="仿宋_GB2312" w:cs="仿宋_GB2312"/>
                                <w:color w:val="000000"/>
                                <w:sz w:val="24"/>
                                <w:szCs w:val="24"/>
                                <w:lang w:eastAsia="zh-CN"/>
                              </w:rPr>
                              <w:t>北京科技大学、中国钢铁研究院、中科院稀土研究所、</w:t>
                            </w:r>
                            <w:r>
                              <w:rPr>
                                <w:rFonts w:hint="eastAsia" w:ascii="仿宋_GB2312" w:hAnsi="仿宋_GB2312" w:eastAsia="仿宋_GB2312" w:cs="仿宋_GB2312"/>
                                <w:color w:val="000000"/>
                                <w:sz w:val="24"/>
                                <w:szCs w:val="24"/>
                              </w:rPr>
                              <w:t>首钢朗泽公司。</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341" w:leftChars="48" w:right="98" w:hanging="240" w:hangingChars="100"/>
                              <w:jc w:val="left"/>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 </w:t>
                            </w:r>
                            <w:r>
                              <w:rPr>
                                <w:rFonts w:hint="eastAsia" w:ascii="仿宋_GB2312" w:hAnsi="仿宋_GB2312" w:eastAsia="仿宋_GB2312" w:cs="仿宋_GB2312"/>
                                <w:b/>
                                <w:sz w:val="24"/>
                                <w:szCs w:val="24"/>
                              </w:rPr>
                              <w:t>重点企业：</w:t>
                            </w:r>
                            <w:r>
                              <w:rPr>
                                <w:rFonts w:hint="eastAsia" w:ascii="仿宋_GB2312" w:hAnsi="仿宋_GB2312" w:eastAsia="仿宋_GB2312" w:cs="仿宋_GB2312"/>
                                <w:sz w:val="24"/>
                                <w:szCs w:val="24"/>
                              </w:rPr>
                              <w:t>宁夏晟晏实业集团能源循环经济有限公司、宁夏吉元冶金集团有限公司</w:t>
                            </w:r>
                            <w:r>
                              <w:rPr>
                                <w:rFonts w:hint="eastAsia" w:ascii="仿宋_GB2312" w:hAnsi="仿宋_GB2312" w:eastAsia="仿宋_GB2312" w:cs="仿宋_GB2312"/>
                                <w:sz w:val="24"/>
                                <w:szCs w:val="24"/>
                                <w:lang w:eastAsia="zh-CN"/>
                              </w:rPr>
                              <w:t>、宁夏参进宁宇达冶金有限公司、宁夏丰华实业有限公司</w:t>
                            </w:r>
                            <w:r>
                              <w:rPr>
                                <w:rFonts w:hint="eastAsia" w:ascii="仿宋_GB2312" w:hAnsi="仿宋_GB2312" w:eastAsia="仿宋_GB2312" w:cs="仿宋_GB2312"/>
                                <w:sz w:val="24"/>
                                <w:szCs w:val="24"/>
                              </w:rPr>
                              <w:t>等。</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342" w:leftChars="48" w:right="98" w:hanging="241" w:hangingChars="100"/>
                              <w:jc w:val="left"/>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重点项目：</w:t>
                            </w:r>
                            <w:r>
                              <w:rPr>
                                <w:rFonts w:hint="eastAsia" w:ascii="仿宋_GB2312" w:hAnsi="仿宋_GB2312" w:eastAsia="仿宋_GB2312" w:cs="仿宋_GB2312"/>
                                <w:sz w:val="24"/>
                                <w:szCs w:val="24"/>
                              </w:rPr>
                              <w:t>宁夏丰华实业年产 3 万吨稀土合金、宁夏晟晏实业集团能源循环经济有限公司年产15万吨纯净锰合金（二期）、宁夏佳明源新材料有限公司年产25000吨球化剂、孕育剂建设等项目。</w:t>
                            </w:r>
                          </w:p>
                        </w:txbxContent>
                      </wps:txbx>
                      <wps:bodyPr lIns="0" tIns="0" rIns="0" bIns="0" upright="1"/>
                    </wps:wsp>
                  </a:graphicData>
                </a:graphic>
              </wp:inline>
            </w:drawing>
          </mc:Choice>
          <mc:Fallback>
            <w:pict>
              <v:rect id="Quad Arrow 4" o:spid="_x0000_s1026" o:spt="1" style="height:258.85pt;width:423pt;" filled="f" stroked="t" coordsize="21600,21600" o:gfxdata="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Iu1pTVAAAABQEAAA8AAAAAAAAAAQAgAAAAIgAAAGRycy9kb3ducmV2LnhtbFBLAQIUABQA&#10;AAAIAIdO4kDV2gCm8wEAAP4DAAAOAAAAAAAAAAEAIAAAACQBAABkcnMvZTJvRG9jLnhtbFBLBQYA&#10;AAAABgAGAFkBAACJBQAAAAA=&#10;">
                <v:fill on="f" focussize="0,0"/>
                <v:stroke weight="0.47992125984252pt" color="#000000" joinstyle="miter"/>
                <v:imagedata o:title=""/>
                <o:lock v:ext="edit" rotation="t" aspectratio="f"/>
                <v:textbox inset="0mm,0mm,0mm,0mm">
                  <w:txbxContent>
                    <w:p>
                      <w:pPr>
                        <w:widowControl w:val="0"/>
                        <w:wordWrap/>
                        <w:autoSpaceDE w:val="0"/>
                        <w:autoSpaceDN w:val="0"/>
                        <w:adjustRightInd/>
                        <w:snapToGrid/>
                        <w:spacing w:before="0" w:after="0" w:line="340" w:lineRule="exact"/>
                        <w:ind w:left="103" w:leftChars="0" w:right="0" w:firstLine="0" w:firstLineChars="0"/>
                        <w:jc w:val="left"/>
                        <w:textAlignment w:val="auto"/>
                        <w:outlineLvl w:val="9"/>
                        <w:rPr>
                          <w:rFonts w:hint="eastAsia" w:ascii="仿宋_GB2312" w:hAnsi="仿宋_GB2312" w:eastAsia="仿宋_GB2312" w:cs="仿宋_GB2312"/>
                          <w:b/>
                          <w:sz w:val="24"/>
                          <w:szCs w:val="24"/>
                        </w:rPr>
                      </w:pP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342" w:leftChars="48" w:right="0" w:hanging="241" w:hangingChars="100"/>
                        <w:jc w:val="left"/>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主要产品：</w:t>
                      </w:r>
                      <w:r>
                        <w:rPr>
                          <w:rFonts w:hint="eastAsia" w:ascii="仿宋_GB2312" w:hAnsi="仿宋_GB2312" w:eastAsia="仿宋_GB2312" w:cs="仿宋_GB2312"/>
                          <w:sz w:val="24"/>
                          <w:szCs w:val="24"/>
                          <w:lang w:eastAsia="zh-CN"/>
                        </w:rPr>
                        <w:t>氮化合金、中低碳锰铁</w:t>
                      </w:r>
                      <w:r>
                        <w:rPr>
                          <w:rFonts w:hint="eastAsia" w:ascii="仿宋_GB2312" w:hAnsi="仿宋_GB2312" w:eastAsia="仿宋_GB2312" w:cs="仿宋_GB2312"/>
                          <w:sz w:val="24"/>
                          <w:szCs w:val="24"/>
                        </w:rPr>
                        <w:t>、稀土合金、孕育剂、球化剂、蠕化剂、包芯线等。</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330" w:leftChars="48" w:right="93" w:hanging="229" w:hangingChars="100"/>
                        <w:jc w:val="left"/>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b/>
                          <w:w w:val="95"/>
                          <w:sz w:val="24"/>
                          <w:szCs w:val="24"/>
                        </w:rPr>
                        <w:t>产业链：</w:t>
                      </w:r>
                      <w:r>
                        <w:rPr>
                          <w:rFonts w:hint="eastAsia" w:ascii="仿宋_GB2312" w:hAnsi="仿宋_GB2312" w:eastAsia="仿宋_GB2312" w:cs="仿宋_GB2312"/>
                          <w:sz w:val="24"/>
                          <w:szCs w:val="24"/>
                        </w:rPr>
                        <w:t>硅石、铁矿石、焦炭、钢屑—多元合金/孕育剂、球化剂、蠕化剂、包芯线等—废气废渣综合利用。</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102" w:leftChars="0" w:right="0" w:firstLine="0" w:firstLineChars="0"/>
                        <w:jc w:val="left"/>
                        <w:textAlignment w:val="auto"/>
                        <w:outlineLvl w:val="9"/>
                        <w:rPr>
                          <w:rFonts w:hint="eastAsia" w:ascii="仿宋_GB2312" w:hAnsi="仿宋_GB2312" w:eastAsia="仿宋_GB2312" w:cs="仿宋_GB2312"/>
                          <w:color w:val="000000"/>
                          <w:sz w:val="24"/>
                          <w:szCs w:val="24"/>
                        </w:rPr>
                      </w:pPr>
                      <w:r>
                        <w:rPr>
                          <w:rFonts w:hint="eastAsia" w:ascii="仿宋_GB2312" w:hAnsi="仿宋_GB2312" w:eastAsia="仿宋_GB2312" w:cs="仿宋_GB2312"/>
                          <w:b/>
                          <w:sz w:val="24"/>
                          <w:szCs w:val="24"/>
                        </w:rPr>
                        <w:t>对接方向：</w:t>
                      </w:r>
                      <w:r>
                        <w:rPr>
                          <w:rFonts w:hint="eastAsia" w:ascii="仿宋_GB2312" w:hAnsi="仿宋_GB2312" w:eastAsia="仿宋_GB2312" w:cs="仿宋_GB2312"/>
                          <w:color w:val="000000"/>
                          <w:sz w:val="24"/>
                          <w:szCs w:val="24"/>
                          <w:lang w:eastAsia="zh-CN"/>
                        </w:rPr>
                        <w:t>北京科技大学、中国钢铁研究院、中科院稀土研究所、</w:t>
                      </w:r>
                      <w:r>
                        <w:rPr>
                          <w:rFonts w:hint="eastAsia" w:ascii="仿宋_GB2312" w:hAnsi="仿宋_GB2312" w:eastAsia="仿宋_GB2312" w:cs="仿宋_GB2312"/>
                          <w:color w:val="000000"/>
                          <w:sz w:val="24"/>
                          <w:szCs w:val="24"/>
                        </w:rPr>
                        <w:t>首钢朗泽公司。</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341" w:leftChars="48" w:right="98" w:hanging="240" w:hangingChars="100"/>
                        <w:jc w:val="left"/>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 </w:t>
                      </w:r>
                      <w:r>
                        <w:rPr>
                          <w:rFonts w:hint="eastAsia" w:ascii="仿宋_GB2312" w:hAnsi="仿宋_GB2312" w:eastAsia="仿宋_GB2312" w:cs="仿宋_GB2312"/>
                          <w:b/>
                          <w:sz w:val="24"/>
                          <w:szCs w:val="24"/>
                        </w:rPr>
                        <w:t>重点企业：</w:t>
                      </w:r>
                      <w:r>
                        <w:rPr>
                          <w:rFonts w:hint="eastAsia" w:ascii="仿宋_GB2312" w:hAnsi="仿宋_GB2312" w:eastAsia="仿宋_GB2312" w:cs="仿宋_GB2312"/>
                          <w:sz w:val="24"/>
                          <w:szCs w:val="24"/>
                        </w:rPr>
                        <w:t>宁夏晟晏实业集团能源循环经济有限公司、宁夏吉元冶金集团有限公司</w:t>
                      </w:r>
                      <w:r>
                        <w:rPr>
                          <w:rFonts w:hint="eastAsia" w:ascii="仿宋_GB2312" w:hAnsi="仿宋_GB2312" w:eastAsia="仿宋_GB2312" w:cs="仿宋_GB2312"/>
                          <w:sz w:val="24"/>
                          <w:szCs w:val="24"/>
                          <w:lang w:eastAsia="zh-CN"/>
                        </w:rPr>
                        <w:t>、宁夏参进宁宇达冶金有限公司、宁夏丰华实业有限公司</w:t>
                      </w:r>
                      <w:r>
                        <w:rPr>
                          <w:rFonts w:hint="eastAsia" w:ascii="仿宋_GB2312" w:hAnsi="仿宋_GB2312" w:eastAsia="仿宋_GB2312" w:cs="仿宋_GB2312"/>
                          <w:sz w:val="24"/>
                          <w:szCs w:val="24"/>
                        </w:rPr>
                        <w:t>等。</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342" w:leftChars="48" w:right="98" w:hanging="241" w:hangingChars="100"/>
                        <w:jc w:val="left"/>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重点项目：</w:t>
                      </w:r>
                      <w:r>
                        <w:rPr>
                          <w:rFonts w:hint="eastAsia" w:ascii="仿宋_GB2312" w:hAnsi="仿宋_GB2312" w:eastAsia="仿宋_GB2312" w:cs="仿宋_GB2312"/>
                          <w:sz w:val="24"/>
                          <w:szCs w:val="24"/>
                        </w:rPr>
                        <w:t>宁夏丰华实业年产 3 万吨稀土合金、宁夏晟晏实业集团能源循环经济有限公司年产15万吨纯净锰合金（二期）、宁夏佳明源新材料有限公司年产25000吨球化剂、孕育剂建设等项目。</w:t>
                      </w:r>
                    </w:p>
                  </w:txbxContent>
                </v:textbox>
                <w10:wrap type="none"/>
                <w10:anchorlock/>
              </v:rect>
            </w:pict>
          </mc:Fallback>
        </mc:AlternateContent>
      </w:r>
      <w:r>
        <w:rPr>
          <w:rFonts w:hint="eastAsia" w:ascii="黑体" w:cs="仿宋_GB2312"/>
          <w:color w:val="FF0000"/>
          <w:sz w:val="20"/>
          <w:szCs w:val="32"/>
          <w:lang w:val="en-US" w:eastAsia="zh-CN" w:bidi="zh-CN"/>
        </w:rPr>
        <w:t xml:space="preserve">     </w:t>
      </w:r>
      <w:r>
        <w:rPr>
          <w:rFonts w:hint="eastAsia" w:ascii="仿宋_GB2312" w:hAnsi="仿宋_GB2312" w:eastAsia="仿宋_GB2312" w:cs="仿宋_GB2312"/>
          <w:color w:val="000000" w:themeColor="text1"/>
          <w:sz w:val="30"/>
          <w:szCs w:val="30"/>
          <w:lang w:val="en-US" w:eastAsia="zh-CN"/>
          <w14:textFill>
            <w14:solidFill>
              <w14:schemeClr w14:val="tx1"/>
            </w14:solidFill>
          </w14:textFill>
        </w:rPr>
        <w:t xml:space="preserve"> </w:t>
      </w:r>
    </w:p>
    <w:p>
      <w:pPr>
        <w:pStyle w:val="8"/>
        <w:keepNext w:val="0"/>
        <w:keepLines w:val="0"/>
        <w:pageBreakBefore w:val="0"/>
        <w:tabs>
          <w:tab w:val="left" w:pos="1199"/>
        </w:tabs>
        <w:kinsoku/>
        <w:wordWrap/>
        <w:overflowPunct/>
        <w:topLinePunct w:val="0"/>
        <w:bidi w:val="0"/>
        <w:adjustRightInd/>
        <w:snapToGrid/>
        <w:spacing w:before="150" w:after="22" w:line="560" w:lineRule="exact"/>
        <w:ind w:right="57" w:firstLine="524" w:firstLineChars="200"/>
        <w:jc w:val="both"/>
        <w:textAlignment w:val="auto"/>
        <w:rPr>
          <w:rFonts w:hint="eastAsia" w:ascii="仿宋_GB2312" w:hAnsi="仿宋_GB2312" w:eastAsia="仿宋_GB2312" w:cs="仿宋_GB2312"/>
          <w:b w:val="0"/>
          <w:bCs/>
          <w:color w:val="000000" w:themeColor="text1"/>
          <w:kern w:val="0"/>
          <w:sz w:val="30"/>
          <w:szCs w:val="30"/>
          <w:lang w:val="zh-CN" w:eastAsia="zh-CN" w:bidi="zh-CN"/>
          <w14:textFill>
            <w14:solidFill>
              <w14:schemeClr w14:val="tx1"/>
            </w14:solidFill>
          </w14:textFill>
        </w:rPr>
      </w:pPr>
      <w:r>
        <w:rPr>
          <w:rFonts w:hint="eastAsia" w:ascii="仿宋_GB2312" w:hAnsi="仿宋_GB2312" w:eastAsia="仿宋_GB2312" w:cs="仿宋_GB2312"/>
          <w:b/>
          <w:bCs/>
          <w:color w:val="000000" w:themeColor="text1"/>
          <w:spacing w:val="-12"/>
          <w:w w:val="95"/>
          <w:sz w:val="30"/>
          <w:szCs w:val="30"/>
          <w:lang w:val="en-US" w:eastAsia="zh-CN" w:bidi="zh-CN"/>
          <w14:textFill>
            <w14:solidFill>
              <w14:schemeClr w14:val="tx1"/>
            </w14:solidFill>
          </w14:textFill>
        </w:rPr>
        <w:t>2.</w:t>
      </w:r>
      <w:r>
        <w:rPr>
          <w:rFonts w:hint="eastAsia" w:ascii="仿宋_GB2312" w:hAnsi="仿宋_GB2312" w:eastAsia="仿宋_GB2312" w:cs="仿宋_GB2312"/>
          <w:b/>
          <w:bCs/>
          <w:color w:val="000000" w:themeColor="text1"/>
          <w:spacing w:val="-12"/>
          <w:w w:val="95"/>
          <w:sz w:val="30"/>
          <w:szCs w:val="30"/>
          <w:lang w:val="zh-CN" w:eastAsia="zh-CN" w:bidi="zh-CN"/>
          <w14:textFill>
            <w14:solidFill>
              <w14:schemeClr w14:val="tx1"/>
            </w14:solidFill>
          </w14:textFill>
        </w:rPr>
        <w:t>精细化工。</w:t>
      </w:r>
      <w:r>
        <w:rPr>
          <w:rFonts w:hint="eastAsia" w:ascii="仿宋_GB2312" w:hAnsi="仿宋_GB2312" w:eastAsia="仿宋_GB2312" w:cs="仿宋_GB2312"/>
          <w:b w:val="0"/>
          <w:bCs/>
          <w:color w:val="000000" w:themeColor="text1"/>
          <w:kern w:val="0"/>
          <w:sz w:val="30"/>
          <w:szCs w:val="30"/>
          <w:lang w:val="zh-CN" w:eastAsia="zh-CN" w:bidi="zh-CN"/>
          <w14:textFill>
            <w14:solidFill>
              <w14:schemeClr w14:val="tx1"/>
            </w14:solidFill>
          </w14:textFill>
        </w:rPr>
        <w:t>以“绿色化、标准化、规范化”为方向，立足产业基础和优势，积极发展与优势特色产业关联度大的精细化工产品，不断丰富产业产品体系和工艺技术基础。到 202</w:t>
      </w:r>
      <w:r>
        <w:rPr>
          <w:rFonts w:hint="eastAsia" w:ascii="仿宋_GB2312" w:hAnsi="仿宋_GB2312" w:eastAsia="仿宋_GB2312" w:cs="仿宋_GB2312"/>
          <w:b w:val="0"/>
          <w:bCs/>
          <w:color w:val="000000" w:themeColor="text1"/>
          <w:kern w:val="0"/>
          <w:sz w:val="30"/>
          <w:szCs w:val="30"/>
          <w:lang w:val="en-US" w:eastAsia="zh-CN" w:bidi="zh-CN"/>
          <w14:textFill>
            <w14:solidFill>
              <w14:schemeClr w14:val="tx1"/>
            </w14:solidFill>
          </w14:textFill>
        </w:rPr>
        <w:t>5</w:t>
      </w:r>
      <w:r>
        <w:rPr>
          <w:rFonts w:hint="eastAsia" w:ascii="仿宋_GB2312" w:hAnsi="仿宋_GB2312" w:eastAsia="仿宋_GB2312" w:cs="仿宋_GB2312"/>
          <w:b w:val="0"/>
          <w:bCs/>
          <w:color w:val="000000" w:themeColor="text1"/>
          <w:kern w:val="0"/>
          <w:sz w:val="30"/>
          <w:szCs w:val="30"/>
          <w:lang w:val="zh-CN" w:eastAsia="zh-CN" w:bidi="zh-CN"/>
          <w14:textFill>
            <w14:solidFill>
              <w14:schemeClr w14:val="tx1"/>
            </w14:solidFill>
          </w14:textFill>
        </w:rPr>
        <w:t xml:space="preserve"> 年，达到产业效益化、终端化、集约化的绿色生产基地。</w:t>
      </w:r>
    </w:p>
    <w:p>
      <w:pPr>
        <w:pStyle w:val="18"/>
        <w:keepNext w:val="0"/>
        <w:keepLines w:val="0"/>
        <w:pageBreakBefore w:val="0"/>
        <w:widowControl/>
        <w:numPr>
          <w:ilvl w:val="0"/>
          <w:numId w:val="0"/>
        </w:numPr>
        <w:pBdr>
          <w:top w:val="none" w:color="auto" w:sz="0" w:space="0"/>
          <w:left w:val="none" w:color="auto" w:sz="0" w:space="0"/>
          <w:bottom w:val="none" w:color="auto" w:sz="0" w:space="0"/>
          <w:right w:val="none" w:color="auto" w:sz="0" w:space="0"/>
        </w:pBdr>
        <w:kinsoku/>
        <w:wordWrap/>
        <w:overflowPunct/>
        <w:topLinePunct w:val="0"/>
        <w:bidi w:val="0"/>
        <w:adjustRightInd/>
        <w:snapToGrid/>
        <w:spacing w:before="0" w:beforeAutospacing="0" w:after="0" w:afterAutospacing="0" w:line="560" w:lineRule="exact"/>
        <w:ind w:left="0" w:leftChars="0" w:right="0" w:firstLine="642"/>
        <w:jc w:val="both"/>
        <w:textAlignment w:val="auto"/>
        <w:outlineLvl w:val="9"/>
        <w:rPr>
          <w:rFonts w:hint="eastAsia" w:ascii="仿宋_GB2312" w:hAnsi="仿宋_GB2312" w:eastAsia="仿宋_GB2312" w:cs="仿宋_GB2312"/>
          <w:b w:val="0"/>
          <w:bCs/>
          <w:color w:val="000000" w:themeColor="text1"/>
          <w:sz w:val="30"/>
          <w:szCs w:val="30"/>
          <w:lang w:eastAsia="zh-CN"/>
          <w14:textFill>
            <w14:solidFill>
              <w14:schemeClr w14:val="tx1"/>
            </w14:solidFill>
          </w14:textFill>
        </w:rPr>
      </w:pPr>
      <w:r>
        <w:rPr>
          <w:rFonts w:hint="eastAsia" w:ascii="仿宋_GB2312" w:hAnsi="仿宋_GB2312" w:eastAsia="仿宋_GB2312" w:cs="仿宋_GB2312"/>
          <w:b/>
          <w:bCs w:val="0"/>
          <w:color w:val="000000" w:themeColor="text1"/>
          <w:sz w:val="30"/>
          <w:szCs w:val="30"/>
          <w:lang w:eastAsia="zh-CN"/>
          <w14:textFill>
            <w14:solidFill>
              <w14:schemeClr w14:val="tx1"/>
            </w14:solidFill>
          </w14:textFill>
        </w:rPr>
        <w:t>严格产业准入条件。</w:t>
      </w:r>
      <w:r>
        <w:rPr>
          <w:rFonts w:hint="eastAsia" w:ascii="仿宋_GB2312" w:hAnsi="仿宋_GB2312" w:eastAsia="仿宋_GB2312" w:cs="仿宋_GB2312"/>
          <w:b w:val="0"/>
          <w:bCs/>
          <w:color w:val="000000" w:themeColor="text1"/>
          <w:sz w:val="30"/>
          <w:szCs w:val="30"/>
          <w:lang w:eastAsia="zh-CN"/>
          <w14:textFill>
            <w14:solidFill>
              <w14:schemeClr w14:val="tx1"/>
            </w14:solidFill>
          </w14:textFill>
        </w:rPr>
        <w:t>落实联合审批机制，从安全、环保、技术、投资和用地等方面严格精细化工产业准入门槛，制定《平罗县化工项目投资准入管理指导意见》，</w:t>
      </w:r>
      <w:r>
        <w:rPr>
          <w:rFonts w:hint="eastAsia" w:ascii="仿宋_GB2312" w:hAnsi="仿宋_GB2312" w:eastAsia="仿宋_GB2312" w:cs="仿宋_GB2312"/>
          <w:b w:val="0"/>
          <w:bCs/>
          <w:color w:val="000000" w:themeColor="text1"/>
          <w:sz w:val="30"/>
          <w:szCs w:val="30"/>
          <w:lang w:val="en-US" w:eastAsia="zh-CN"/>
          <w14:textFill>
            <w14:solidFill>
              <w14:schemeClr w14:val="tx1"/>
            </w14:solidFill>
          </w14:textFill>
        </w:rPr>
        <w:t>鼓励</w:t>
      </w:r>
      <w:r>
        <w:rPr>
          <w:rFonts w:hint="eastAsia" w:ascii="仿宋_GB2312" w:hAnsi="仿宋_GB2312" w:eastAsia="仿宋_GB2312" w:cs="仿宋_GB2312"/>
          <w:b w:val="0"/>
          <w:bCs/>
          <w:color w:val="000000" w:themeColor="text1"/>
          <w:sz w:val="30"/>
          <w:szCs w:val="30"/>
          <w:lang w:eastAsia="zh-CN"/>
          <w14:textFill>
            <w14:solidFill>
              <w14:schemeClr w14:val="tx1"/>
            </w14:solidFill>
          </w14:textFill>
        </w:rPr>
        <w:t>发展与现有产品关联度较高且市场前景好、工艺技术水平高、安全环保先进、产业带动力强的化工下游新产品</w:t>
      </w:r>
      <w:r>
        <w:rPr>
          <w:rFonts w:hint="eastAsia" w:ascii="仿宋_GB2312" w:hAnsi="仿宋_GB2312" w:eastAsia="仿宋_GB2312" w:cs="仿宋_GB2312"/>
          <w:b w:val="0"/>
          <w:bCs/>
          <w:color w:val="000000" w:themeColor="text1"/>
          <w:sz w:val="30"/>
          <w:szCs w:val="30"/>
          <w:lang w:val="en-US" w:eastAsia="zh-CN"/>
          <w14:textFill>
            <w14:solidFill>
              <w14:schemeClr w14:val="tx1"/>
            </w14:solidFill>
          </w14:textFill>
        </w:rPr>
        <w:t>。</w:t>
      </w:r>
    </w:p>
    <w:p>
      <w:pPr>
        <w:pStyle w:val="2"/>
        <w:keepNext w:val="0"/>
        <w:keepLines w:val="0"/>
        <w:pageBreakBefore w:val="0"/>
        <w:widowControl w:val="0"/>
        <w:kinsoku/>
        <w:wordWrap/>
        <w:overflowPunct/>
        <w:topLinePunct w:val="0"/>
        <w:autoSpaceDE w:val="0"/>
        <w:autoSpaceDN w:val="0"/>
        <w:bidi w:val="0"/>
        <w:adjustRightInd/>
        <w:snapToGrid/>
        <w:spacing w:before="0" w:after="0" w:line="560" w:lineRule="exact"/>
        <w:ind w:left="0" w:leftChars="0" w:right="0"/>
        <w:jc w:val="left"/>
        <w:textAlignment w:val="auto"/>
        <w:outlineLvl w:val="9"/>
        <w:rPr>
          <w:rFonts w:hint="eastAsia" w:ascii="仿宋_GB2312" w:hAnsi="仿宋_GB2312" w:eastAsia="仿宋_GB2312" w:cs="仿宋_GB2312"/>
          <w:b w:val="0"/>
          <w:bCs/>
          <w:color w:val="000000" w:themeColor="text1"/>
          <w:sz w:val="30"/>
          <w:szCs w:val="30"/>
          <w:lang w:val="zh-CN" w:eastAsia="zh-CN" w:bidi="zh-CN"/>
          <w14:textFill>
            <w14:solidFill>
              <w14:schemeClr w14:val="tx1"/>
            </w14:solidFill>
          </w14:textFill>
        </w:rPr>
      </w:pPr>
      <w:r>
        <w:rPr>
          <w:rFonts w:hint="eastAsia" w:ascii="仿宋_GB2312" w:hAnsi="仿宋_GB2312" w:eastAsia="仿宋_GB2312" w:cs="仿宋_GB2312"/>
          <w:b/>
          <w:bCs w:val="0"/>
          <w:color w:val="000000" w:themeColor="text1"/>
          <w:sz w:val="30"/>
          <w:szCs w:val="30"/>
          <w:lang w:val="zh-CN" w:eastAsia="zh-CN" w:bidi="zh-CN"/>
          <w14:textFill>
            <w14:solidFill>
              <w14:schemeClr w14:val="tx1"/>
            </w14:solidFill>
          </w14:textFill>
        </w:rPr>
        <w:t>建立淘汰落后机制。</w:t>
      </w:r>
      <w:r>
        <w:rPr>
          <w:rFonts w:hint="eastAsia" w:ascii="仿宋_GB2312" w:hAnsi="仿宋_GB2312" w:eastAsia="仿宋_GB2312" w:cs="仿宋_GB2312"/>
          <w:b w:val="0"/>
          <w:bCs/>
          <w:color w:val="000000" w:themeColor="text1"/>
          <w:sz w:val="30"/>
          <w:szCs w:val="30"/>
          <w:lang w:val="zh-CN" w:eastAsia="zh-CN" w:bidi="zh-CN"/>
          <w14:textFill>
            <w14:solidFill>
              <w14:schemeClr w14:val="tx1"/>
            </w14:solidFill>
          </w14:textFill>
        </w:rPr>
        <w:t>联合对已建成投产的化工项目实施再评价，重点核查是否按批复内容建设、是否按比例投入安全环保设施、亩产综合效益水平、诚信守法经营等，依法依规淘汰产业规模小、产业关联度低、基础设施不完善、安全环境问题突出的项目，逐步清退低端落后、高风险、高耗能和高污染的化工项目。</w:t>
      </w:r>
    </w:p>
    <w:p>
      <w:pPr>
        <w:pStyle w:val="18"/>
        <w:keepNext w:val="0"/>
        <w:keepLines w:val="0"/>
        <w:pageBreakBefore w:val="0"/>
        <w:widowControl/>
        <w:numPr>
          <w:ilvl w:val="0"/>
          <w:numId w:val="0"/>
        </w:numPr>
        <w:kinsoku/>
        <w:wordWrap/>
        <w:overflowPunct/>
        <w:topLinePunct w:val="0"/>
        <w:bidi w:val="0"/>
        <w:adjustRightInd/>
        <w:snapToGrid/>
        <w:spacing w:before="0" w:beforeAutospacing="0" w:after="0" w:afterAutospacing="0" w:line="560" w:lineRule="exact"/>
        <w:ind w:left="0" w:leftChars="0" w:right="0"/>
        <w:jc w:val="both"/>
        <w:textAlignment w:val="auto"/>
        <w:outlineLvl w:val="9"/>
        <w:rPr>
          <w:rFonts w:hint="eastAsia" w:ascii="仿宋_GB2312" w:hAnsi="仿宋_GB2312" w:eastAsia="仿宋_GB2312" w:cs="仿宋_GB2312"/>
          <w:b w:val="0"/>
          <w:i w:val="0"/>
          <w:caps w:val="0"/>
          <w:color w:val="000000" w:themeColor="text1"/>
          <w:spacing w:val="0"/>
          <w:sz w:val="30"/>
          <w:szCs w:val="30"/>
          <w:lang w:val="en-US" w:eastAsia="zh-CN"/>
          <w14:textFill>
            <w14:solidFill>
              <w14:schemeClr w14:val="tx1"/>
            </w14:solidFill>
          </w14:textFill>
        </w:rPr>
      </w:pPr>
      <w:r>
        <w:rPr>
          <w:rFonts w:hint="eastAsia" w:ascii="仿宋_GB2312" w:hAnsi="仿宋_GB2312" w:eastAsia="仿宋_GB2312" w:cs="仿宋_GB2312"/>
          <w:b/>
          <w:bCs w:val="0"/>
          <w:color w:val="000000" w:themeColor="text1"/>
          <w:sz w:val="30"/>
          <w:szCs w:val="30"/>
          <w:lang w:val="en-US" w:eastAsia="zh-CN" w:bidi="zh-CN"/>
          <w14:textFill>
            <w14:solidFill>
              <w14:schemeClr w14:val="tx1"/>
            </w14:solidFill>
          </w14:textFill>
        </w:rPr>
        <w:t xml:space="preserve">    </w:t>
      </w:r>
      <w:r>
        <w:rPr>
          <w:rFonts w:hint="eastAsia" w:ascii="仿宋_GB2312" w:hAnsi="仿宋_GB2312" w:eastAsia="仿宋_GB2312" w:cs="仿宋_GB2312"/>
          <w:b/>
          <w:bCs w:val="0"/>
          <w:color w:val="000000" w:themeColor="text1"/>
          <w:sz w:val="30"/>
          <w:szCs w:val="30"/>
          <w:lang w:val="zh-CN" w:eastAsia="zh-CN" w:bidi="zh-CN"/>
          <w14:textFill>
            <w14:solidFill>
              <w14:schemeClr w14:val="tx1"/>
            </w14:solidFill>
          </w14:textFill>
        </w:rPr>
        <w:t>提升安全环保水平。</w:t>
      </w:r>
      <w:r>
        <w:rPr>
          <w:rFonts w:hint="eastAsia" w:ascii="仿宋_GB2312" w:hAnsi="仿宋_GB2312" w:eastAsia="仿宋_GB2312" w:cs="仿宋_GB2312"/>
          <w:b w:val="0"/>
          <w:i w:val="0"/>
          <w:caps w:val="0"/>
          <w:color w:val="000000" w:themeColor="text1"/>
          <w:spacing w:val="0"/>
          <w:sz w:val="30"/>
          <w:szCs w:val="30"/>
          <w:lang w:val="en-US" w:eastAsia="zh-CN"/>
          <w14:textFill>
            <w14:solidFill>
              <w14:schemeClr w14:val="tx1"/>
            </w14:solidFill>
          </w14:textFill>
        </w:rPr>
        <w:t>新建化工项目环保投入不得低于总固定资产的20%，</w:t>
      </w:r>
      <w:r>
        <w:rPr>
          <w:rFonts w:hint="eastAsia" w:ascii="仿宋_GB2312" w:hAnsi="仿宋_GB2312" w:eastAsia="仿宋_GB2312" w:cs="仿宋_GB2312"/>
          <w:b w:val="0"/>
          <w:i w:val="0"/>
          <w:caps w:val="0"/>
          <w:color w:val="000000" w:themeColor="text1"/>
          <w:spacing w:val="0"/>
          <w:sz w:val="30"/>
          <w:szCs w:val="30"/>
          <w:lang w:eastAsia="zh-CN"/>
          <w14:textFill>
            <w14:solidFill>
              <w14:schemeClr w14:val="tx1"/>
            </w14:solidFill>
          </w14:textFill>
        </w:rPr>
        <w:t>严禁企业搬迁异地老旧设备。</w:t>
      </w:r>
      <w:r>
        <w:rPr>
          <w:rFonts w:hint="eastAsia" w:ascii="仿宋_GB2312" w:hAnsi="仿宋_GB2312" w:eastAsia="仿宋_GB2312" w:cs="仿宋_GB2312"/>
          <w:b w:val="0"/>
          <w:i w:val="0"/>
          <w:caps w:val="0"/>
          <w:color w:val="000000" w:themeColor="text1"/>
          <w:spacing w:val="0"/>
          <w:sz w:val="30"/>
          <w:szCs w:val="30"/>
          <w:lang w:val="en-US" w:eastAsia="zh-CN"/>
          <w14:textFill>
            <w14:solidFill>
              <w14:schemeClr w14:val="tx1"/>
            </w14:solidFill>
          </w14:textFill>
        </w:rPr>
        <w:t>积极</w:t>
      </w:r>
      <w:r>
        <w:rPr>
          <w:rFonts w:hint="eastAsia" w:ascii="仿宋_GB2312" w:hAnsi="仿宋_GB2312" w:eastAsia="仿宋_GB2312" w:cs="仿宋_GB2312"/>
          <w:b w:val="0"/>
          <w:bCs/>
          <w:color w:val="000000" w:themeColor="text1"/>
          <w:sz w:val="30"/>
          <w:szCs w:val="30"/>
          <w:lang w:val="zh-CN" w:eastAsia="zh-CN" w:bidi="zh-CN"/>
          <w14:textFill>
            <w14:solidFill>
              <w14:schemeClr w14:val="tx1"/>
            </w14:solidFill>
          </w14:textFill>
        </w:rPr>
        <w:t>推广生产线智能化改造，对各个生产经营工序、环节进行数字化、程序化、自动化控制，在高温、高压、易燃、易爆、易中毒、有腐蚀性刺激性等化工高危生产工序和环节，实施“机器换人、自动化减人”，</w:t>
      </w:r>
      <w:r>
        <w:rPr>
          <w:rFonts w:hint="eastAsia" w:ascii="仿宋_GB2312" w:hAnsi="仿宋_GB2312" w:eastAsia="仿宋_GB2312" w:cs="仿宋_GB2312"/>
          <w:b w:val="0"/>
          <w:i w:val="0"/>
          <w:caps w:val="0"/>
          <w:color w:val="000000" w:themeColor="text1"/>
          <w:spacing w:val="0"/>
          <w:sz w:val="30"/>
          <w:szCs w:val="30"/>
          <w:lang w:val="zh-CN" w:eastAsia="zh-CN"/>
          <w14:textFill>
            <w14:solidFill>
              <w14:schemeClr w14:val="tx1"/>
            </w14:solidFill>
          </w14:textFill>
        </w:rPr>
        <w:t>配备专业化的管理人才，加强对一线操作人员的专业培训力度，</w:t>
      </w:r>
      <w:r>
        <w:rPr>
          <w:rFonts w:hint="eastAsia" w:ascii="仿宋_GB2312" w:hAnsi="仿宋_GB2312" w:eastAsia="仿宋_GB2312" w:cs="仿宋_GB2312"/>
          <w:b w:val="0"/>
          <w:bCs/>
          <w:color w:val="000000" w:themeColor="text1"/>
          <w:sz w:val="30"/>
          <w:szCs w:val="30"/>
          <w:lang w:val="zh-CN" w:eastAsia="zh-CN" w:bidi="zh-CN"/>
          <w14:textFill>
            <w14:solidFill>
              <w14:schemeClr w14:val="tx1"/>
            </w14:solidFill>
          </w14:textFill>
        </w:rPr>
        <w:t>规范提升精细化工企业环保和安全发展水平。</w:t>
      </w:r>
    </w:p>
    <w:p>
      <w:pPr>
        <w:pStyle w:val="8"/>
        <w:keepNext w:val="0"/>
        <w:keepLines w:val="0"/>
        <w:pageBreakBefore w:val="0"/>
        <w:kinsoku/>
        <w:wordWrap/>
        <w:overflowPunct/>
        <w:topLinePunct w:val="0"/>
        <w:bidi w:val="0"/>
        <w:spacing w:before="55" w:after="21" w:line="560" w:lineRule="exact"/>
        <w:ind w:right="59"/>
        <w:jc w:val="center"/>
        <w:textAlignment w:val="auto"/>
        <w:rPr>
          <w:rFonts w:hint="eastAsia" w:ascii="仿宋_GB2312" w:hAnsi="仿宋_GB2312" w:eastAsia="仿宋_GB2312" w:cs="仿宋_GB2312"/>
          <w:b/>
          <w:bCs/>
          <w:color w:val="000000" w:themeColor="text1"/>
          <w:sz w:val="30"/>
          <w:szCs w:val="30"/>
          <w14:textFill>
            <w14:solidFill>
              <w14:schemeClr w14:val="tx1"/>
            </w14:solidFill>
          </w14:textFill>
        </w:rPr>
      </w:pPr>
      <w:bookmarkStart w:id="121" w:name="4.炭基材料。"/>
      <w:bookmarkEnd w:id="121"/>
      <w:bookmarkStart w:id="122" w:name="转型升级目标：到2023年，炭基材料产值达到100亿元。"/>
      <w:bookmarkEnd w:id="122"/>
      <w:bookmarkStart w:id="123" w:name="转型升级方向：坚持“严控总量、错位发展、高端发展”的原则，加快主导产品升级、新产"/>
      <w:bookmarkEnd w:id="123"/>
    </w:p>
    <w:p>
      <w:pPr>
        <w:pStyle w:val="8"/>
        <w:keepNext w:val="0"/>
        <w:keepLines w:val="0"/>
        <w:pageBreakBefore w:val="0"/>
        <w:kinsoku/>
        <w:wordWrap/>
        <w:overflowPunct/>
        <w:topLinePunct w:val="0"/>
        <w:bidi w:val="0"/>
        <w:spacing w:before="55" w:after="21" w:line="560" w:lineRule="exact"/>
        <w:ind w:right="59"/>
        <w:jc w:val="center"/>
        <w:textAlignment w:val="auto"/>
        <w:rPr>
          <w:rFonts w:hint="eastAsia" w:ascii="仿宋_GB2312" w:hAnsi="仿宋_GB2312" w:eastAsia="仿宋_GB2312" w:cs="仿宋_GB2312"/>
          <w:b/>
          <w:bCs/>
          <w:color w:val="000000" w:themeColor="text1"/>
          <w:sz w:val="30"/>
          <w:szCs w:val="30"/>
          <w14:textFill>
            <w14:solidFill>
              <w14:schemeClr w14:val="tx1"/>
            </w14:solidFill>
          </w14:textFill>
        </w:rPr>
      </w:pPr>
    </w:p>
    <w:p>
      <w:pPr>
        <w:pStyle w:val="8"/>
        <w:keepNext w:val="0"/>
        <w:keepLines w:val="0"/>
        <w:pageBreakBefore w:val="0"/>
        <w:kinsoku/>
        <w:wordWrap/>
        <w:overflowPunct/>
        <w:topLinePunct w:val="0"/>
        <w:bidi w:val="0"/>
        <w:spacing w:before="55" w:after="21" w:line="560" w:lineRule="exact"/>
        <w:ind w:right="59"/>
        <w:jc w:val="center"/>
        <w:textAlignment w:val="auto"/>
        <w:rPr>
          <w:rFonts w:hint="eastAsia" w:ascii="仿宋_GB2312" w:hAnsi="仿宋_GB2312" w:eastAsia="仿宋_GB2312" w:cs="仿宋_GB2312"/>
          <w:b/>
          <w:bCs/>
          <w:color w:val="000000" w:themeColor="text1"/>
          <w:sz w:val="30"/>
          <w:szCs w:val="30"/>
          <w14:textFill>
            <w14:solidFill>
              <w14:schemeClr w14:val="tx1"/>
            </w14:solidFill>
          </w14:textFill>
        </w:rPr>
      </w:pPr>
    </w:p>
    <w:p>
      <w:pPr>
        <w:pStyle w:val="8"/>
        <w:keepNext w:val="0"/>
        <w:keepLines w:val="0"/>
        <w:pageBreakBefore w:val="0"/>
        <w:kinsoku/>
        <w:wordWrap/>
        <w:overflowPunct/>
        <w:topLinePunct w:val="0"/>
        <w:bidi w:val="0"/>
        <w:spacing w:before="55" w:after="21" w:line="560" w:lineRule="exact"/>
        <w:ind w:right="59"/>
        <w:jc w:val="center"/>
        <w:textAlignment w:val="auto"/>
        <w:rPr>
          <w:rFonts w:hint="eastAsia" w:ascii="仿宋_GB2312" w:hAnsi="仿宋_GB2312" w:eastAsia="仿宋_GB2312" w:cs="仿宋_GB2312"/>
          <w:b/>
          <w:bCs/>
          <w:color w:val="000000" w:themeColor="text1"/>
          <w:sz w:val="30"/>
          <w:szCs w:val="30"/>
          <w14:textFill>
            <w14:solidFill>
              <w14:schemeClr w14:val="tx1"/>
            </w14:solidFill>
          </w14:textFill>
        </w:rPr>
      </w:pPr>
    </w:p>
    <w:p>
      <w:pPr>
        <w:pStyle w:val="8"/>
        <w:keepNext w:val="0"/>
        <w:keepLines w:val="0"/>
        <w:pageBreakBefore w:val="0"/>
        <w:kinsoku/>
        <w:wordWrap/>
        <w:overflowPunct/>
        <w:topLinePunct w:val="0"/>
        <w:bidi w:val="0"/>
        <w:spacing w:before="55" w:after="21" w:line="560" w:lineRule="exact"/>
        <w:ind w:right="59"/>
        <w:jc w:val="center"/>
        <w:textAlignment w:val="auto"/>
        <w:rPr>
          <w:rFonts w:hint="eastAsia" w:ascii="仿宋_GB2312" w:hAnsi="仿宋_GB2312" w:eastAsia="仿宋_GB2312" w:cs="仿宋_GB2312"/>
          <w:b/>
          <w:bCs/>
          <w:color w:val="000000" w:themeColor="text1"/>
          <w:sz w:val="30"/>
          <w:szCs w:val="30"/>
          <w14:textFill>
            <w14:solidFill>
              <w14:schemeClr w14:val="tx1"/>
            </w14:solidFill>
          </w14:textFill>
        </w:rPr>
      </w:pPr>
      <w:r>
        <w:rPr>
          <w:rFonts w:hint="eastAsia" w:ascii="仿宋_GB2312" w:hAnsi="仿宋_GB2312" w:eastAsia="仿宋_GB2312" w:cs="仿宋_GB2312"/>
          <w:b/>
          <w:bCs/>
          <w:color w:val="000000" w:themeColor="text1"/>
          <w:sz w:val="30"/>
          <w:szCs w:val="30"/>
          <w14:textFill>
            <w14:solidFill>
              <w14:schemeClr w14:val="tx1"/>
            </w14:solidFill>
          </w14:textFill>
        </w:rPr>
        <w:t>专栏</w:t>
      </w:r>
      <w:r>
        <w:rPr>
          <w:rFonts w:hint="eastAsia" w:cs="仿宋_GB2312"/>
          <w:b/>
          <w:bCs/>
          <w:color w:val="000000" w:themeColor="text1"/>
          <w:sz w:val="30"/>
          <w:szCs w:val="30"/>
          <w:lang w:val="en-US" w:eastAsia="zh-CN"/>
          <w14:textFill>
            <w14:solidFill>
              <w14:schemeClr w14:val="tx1"/>
            </w14:solidFill>
          </w14:textFill>
        </w:rPr>
        <w:t>1-</w:t>
      </w:r>
      <w:r>
        <w:rPr>
          <w:rFonts w:hint="eastAsia" w:ascii="仿宋_GB2312" w:hAnsi="仿宋_GB2312" w:eastAsia="仿宋_GB2312" w:cs="仿宋_GB2312"/>
          <w:b/>
          <w:bCs/>
          <w:color w:val="000000" w:themeColor="text1"/>
          <w:sz w:val="30"/>
          <w:szCs w:val="30"/>
          <w:lang w:val="en-US" w:eastAsia="zh-CN"/>
          <w14:textFill>
            <w14:solidFill>
              <w14:schemeClr w14:val="tx1"/>
            </w14:solidFill>
          </w14:textFill>
        </w:rPr>
        <w:t>2</w:t>
      </w:r>
      <w:r>
        <w:rPr>
          <w:rFonts w:hint="eastAsia" w:ascii="仿宋_GB2312" w:hAnsi="仿宋_GB2312" w:eastAsia="仿宋_GB2312" w:cs="仿宋_GB2312"/>
          <w:b/>
          <w:bCs/>
          <w:color w:val="000000" w:themeColor="text1"/>
          <w:sz w:val="30"/>
          <w:szCs w:val="30"/>
          <w14:textFill>
            <w14:solidFill>
              <w14:schemeClr w14:val="tx1"/>
            </w14:solidFill>
          </w14:textFill>
        </w:rPr>
        <w:t xml:space="preserve"> 精细化工</w:t>
      </w:r>
    </w:p>
    <w:p>
      <w:pPr>
        <w:pStyle w:val="8"/>
        <w:ind w:left="206"/>
        <w:rPr>
          <w:rFonts w:hint="eastAsia" w:ascii="仿宋_GB2312" w:hAnsi="仿宋_GB2312" w:eastAsia="仿宋_GB2312" w:cs="仿宋_GB2312"/>
          <w:b/>
          <w:bCs/>
          <w:color w:val="FF0000"/>
          <w:sz w:val="32"/>
          <w:szCs w:val="32"/>
          <w:lang w:val="en-US" w:eastAsia="zh-CN"/>
        </w:rPr>
      </w:pPr>
      <w:r>
        <w:rPr>
          <w:rFonts w:ascii="黑体" w:hAnsi="仿宋_GB2312" w:eastAsia="仿宋_GB2312" w:cs="仿宋_GB2312"/>
          <w:color w:val="FF0000"/>
          <w:sz w:val="20"/>
          <w:szCs w:val="32"/>
          <w:lang w:val="zh-CN" w:eastAsia="zh-CN" w:bidi="zh-CN"/>
        </w:rPr>
        <mc:AlternateContent>
          <mc:Choice Requires="wps">
            <w:drawing>
              <wp:inline distT="0" distB="0" distL="114300" distR="114300">
                <wp:extent cx="5352415" cy="3906520"/>
                <wp:effectExtent l="5080" t="4445" r="14605" b="13335"/>
                <wp:docPr id="11" name="Quad Arrow 7"/>
                <wp:cNvGraphicFramePr/>
                <a:graphic xmlns:a="http://schemas.openxmlformats.org/drawingml/2006/main">
                  <a:graphicData uri="http://schemas.microsoft.com/office/word/2010/wordprocessingShape">
                    <wps:wsp>
                      <wps:cNvSpPr>
                        <a:spLocks noRot="1"/>
                      </wps:cNvSpPr>
                      <wps:spPr>
                        <a:xfrm>
                          <a:off x="0" y="0"/>
                          <a:ext cx="5352415" cy="3906520"/>
                        </a:xfrm>
                        <a:prstGeom prst="rect">
                          <a:avLst/>
                        </a:prstGeom>
                        <a:noFill/>
                        <a:ln w="6095" cap="flat" cmpd="sng">
                          <a:solidFill>
                            <a:srgbClr val="000000"/>
                          </a:solidFill>
                          <a:prstDash val="solid"/>
                          <a:miter/>
                          <a:headEnd type="none" w="med" len="med"/>
                          <a:tailEnd type="none" w="med" len="med"/>
                        </a:ln>
                      </wps:spPr>
                      <wps:txbx>
                        <w:txbxContent>
                          <w:p>
                            <w:pPr>
                              <w:spacing w:before="0" w:line="275" w:lineRule="exact"/>
                              <w:ind w:left="103" w:right="0" w:firstLine="0"/>
                              <w:jc w:val="left"/>
                              <w:rPr>
                                <w:rFonts w:hint="eastAsia" w:ascii="Microsoft JhengHei" w:eastAsia="Microsoft JhengHei"/>
                                <w:b/>
                                <w:sz w:val="21"/>
                              </w:rPr>
                            </w:pPr>
                          </w:p>
                          <w:p>
                            <w:pPr>
                              <w:keepNext w:val="0"/>
                              <w:keepLines w:val="0"/>
                              <w:pageBreakBefore w:val="0"/>
                              <w:widowControl w:val="0"/>
                              <w:kinsoku/>
                              <w:wordWrap/>
                              <w:overflowPunct/>
                              <w:topLinePunct w:val="0"/>
                              <w:autoSpaceDE/>
                              <w:autoSpaceDN/>
                              <w:bidi w:val="0"/>
                              <w:adjustRightInd/>
                              <w:snapToGrid/>
                              <w:spacing w:before="0" w:line="360" w:lineRule="auto"/>
                              <w:ind w:left="424" w:leftChars="48" w:right="0" w:hanging="323" w:hangingChars="134"/>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主要产品：</w:t>
                            </w:r>
                            <w:r>
                              <w:rPr>
                                <w:rFonts w:hint="eastAsia" w:ascii="仿宋_GB2312" w:hAnsi="仿宋_GB2312" w:eastAsia="仿宋_GB2312" w:cs="仿宋_GB2312"/>
                                <w:sz w:val="24"/>
                                <w:szCs w:val="24"/>
                              </w:rPr>
                              <w:t>丙炔噁草酮、三氮唑钠、解毒喹、杀线威肟</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L-苯丙氨酸、美伐他汀、敌稗、克菌丹、敌草隆等精细化工产品。</w:t>
                            </w:r>
                          </w:p>
                          <w:p>
                            <w:pPr>
                              <w:keepNext w:val="0"/>
                              <w:keepLines w:val="0"/>
                              <w:pageBreakBefore w:val="0"/>
                              <w:widowControl w:val="0"/>
                              <w:kinsoku/>
                              <w:wordWrap/>
                              <w:overflowPunct/>
                              <w:topLinePunct w:val="0"/>
                              <w:autoSpaceDE/>
                              <w:autoSpaceDN/>
                              <w:bidi w:val="0"/>
                              <w:adjustRightInd/>
                              <w:snapToGrid/>
                              <w:spacing w:before="0" w:line="360" w:lineRule="auto"/>
                              <w:ind w:left="424" w:leftChars="48" w:right="5" w:hanging="323" w:hangingChars="134"/>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产业链：</w:t>
                            </w:r>
                            <w:r>
                              <w:rPr>
                                <w:rFonts w:hint="eastAsia" w:ascii="仿宋_GB2312" w:hAnsi="仿宋_GB2312" w:eastAsia="仿宋_GB2312" w:cs="仿宋_GB2312"/>
                                <w:sz w:val="24"/>
                                <w:szCs w:val="24"/>
                              </w:rPr>
                              <w:t>葡萄糖、磷酸氢二钾—L-苯丙氨酸；葡萄糖、甘油→美伐他汀；二氯苯胺、丙酸、二钠盐—敌稗；双氧水、纯碱、四氢亚胺—克菌丹；3.4-二氯苯胺—敌草隆原药等产业链。</w:t>
                            </w:r>
                          </w:p>
                          <w:p>
                            <w:pPr>
                              <w:keepNext w:val="0"/>
                              <w:keepLines w:val="0"/>
                              <w:pageBreakBefore w:val="0"/>
                              <w:widowControl w:val="0"/>
                              <w:kinsoku/>
                              <w:wordWrap/>
                              <w:overflowPunct/>
                              <w:topLinePunct w:val="0"/>
                              <w:autoSpaceDE/>
                              <w:autoSpaceDN/>
                              <w:bidi w:val="0"/>
                              <w:adjustRightInd/>
                              <w:snapToGrid/>
                              <w:spacing w:before="16" w:line="360" w:lineRule="auto"/>
                              <w:ind w:left="419" w:leftChars="85" w:right="271" w:hanging="241" w:hangingChars="1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对接方向：</w:t>
                            </w:r>
                            <w:r>
                              <w:rPr>
                                <w:rFonts w:hint="eastAsia" w:ascii="仿宋_GB2312" w:hAnsi="仿宋_GB2312" w:eastAsia="仿宋_GB2312" w:cs="仿宋_GB2312"/>
                                <w:sz w:val="24"/>
                                <w:szCs w:val="24"/>
                              </w:rPr>
                              <w:t>山东理工大学、天津大学、天津理工大学、浙江大学、武汉轻工大学、青岛科技大学等。</w:t>
                            </w:r>
                          </w:p>
                          <w:p>
                            <w:pPr>
                              <w:keepNext w:val="0"/>
                              <w:keepLines w:val="0"/>
                              <w:pageBreakBefore w:val="0"/>
                              <w:widowControl w:val="0"/>
                              <w:kinsoku/>
                              <w:wordWrap/>
                              <w:overflowPunct/>
                              <w:topLinePunct w:val="0"/>
                              <w:autoSpaceDE/>
                              <w:autoSpaceDN/>
                              <w:bidi w:val="0"/>
                              <w:adjustRightInd/>
                              <w:snapToGrid/>
                              <w:spacing w:before="0" w:line="360" w:lineRule="auto"/>
                              <w:ind w:left="342" w:leftChars="48" w:right="5" w:hanging="241" w:hangingChars="1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重点企业：</w:t>
                            </w:r>
                            <w:r>
                              <w:rPr>
                                <w:rFonts w:hint="eastAsia" w:ascii="仿宋_GB2312" w:hAnsi="仿宋_GB2312" w:eastAsia="仿宋_GB2312" w:cs="仿宋_GB2312"/>
                                <w:sz w:val="24"/>
                                <w:szCs w:val="24"/>
                              </w:rPr>
                              <w:t>宁夏蓝田农业开发有限公司、丽珠集团（宁夏）制药有限公司、宁夏森萱药业有限公司、宁夏格瑞精细化工有限公司、宁夏新安科技有限公司等。</w:t>
                            </w:r>
                          </w:p>
                          <w:p>
                            <w:pPr>
                              <w:keepNext w:val="0"/>
                              <w:keepLines w:val="0"/>
                              <w:pageBreakBefore w:val="0"/>
                              <w:widowControl w:val="0"/>
                              <w:kinsoku/>
                              <w:wordWrap/>
                              <w:overflowPunct/>
                              <w:topLinePunct w:val="0"/>
                              <w:autoSpaceDE/>
                              <w:autoSpaceDN/>
                              <w:bidi w:val="0"/>
                              <w:adjustRightInd/>
                              <w:snapToGrid/>
                              <w:spacing w:before="3" w:line="360" w:lineRule="auto"/>
                              <w:ind w:left="332" w:leftChars="48" w:right="96" w:hanging="231" w:hangingChars="1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spacing w:val="-5"/>
                                <w:sz w:val="24"/>
                                <w:szCs w:val="24"/>
                              </w:rPr>
                              <w:t>重点项目：</w:t>
                            </w:r>
                            <w:r>
                              <w:rPr>
                                <w:rFonts w:hint="eastAsia" w:ascii="仿宋_GB2312" w:hAnsi="仿宋_GB2312" w:eastAsia="仿宋_GB2312" w:cs="仿宋_GB2312"/>
                                <w:spacing w:val="-8"/>
                                <w:sz w:val="24"/>
                                <w:szCs w:val="24"/>
                              </w:rPr>
                              <w:t>蓝博思高附加值医药、材料中试基地建设项目</w:t>
                            </w:r>
                            <w:r>
                              <w:rPr>
                                <w:rFonts w:hint="eastAsia" w:ascii="仿宋_GB2312" w:hAnsi="仿宋_GB2312" w:eastAsia="仿宋_GB2312" w:cs="仿宋_GB2312"/>
                                <w:spacing w:val="-4"/>
                                <w:sz w:val="24"/>
                                <w:szCs w:val="24"/>
                              </w:rPr>
                              <w:t xml:space="preserve">，格瑞精细化工年产 </w:t>
                            </w:r>
                            <w:r>
                              <w:rPr>
                                <w:rFonts w:hint="eastAsia" w:ascii="仿宋_GB2312" w:hAnsi="仿宋_GB2312" w:eastAsia="仿宋_GB2312" w:cs="仿宋_GB2312"/>
                                <w:sz w:val="24"/>
                                <w:szCs w:val="24"/>
                              </w:rPr>
                              <w:t xml:space="preserve">1000 </w:t>
                            </w:r>
                            <w:r>
                              <w:rPr>
                                <w:rFonts w:hint="eastAsia" w:ascii="仿宋_GB2312" w:hAnsi="仿宋_GB2312" w:eastAsia="仿宋_GB2312" w:cs="仿宋_GB2312"/>
                                <w:spacing w:val="-4"/>
                                <w:sz w:val="24"/>
                                <w:szCs w:val="24"/>
                              </w:rPr>
                              <w:t xml:space="preserve">吨甲磺草胺，新安科技年产 </w:t>
                            </w:r>
                            <w:r>
                              <w:rPr>
                                <w:rFonts w:hint="eastAsia" w:ascii="仿宋_GB2312" w:hAnsi="仿宋_GB2312" w:eastAsia="仿宋_GB2312" w:cs="仿宋_GB2312"/>
                                <w:sz w:val="24"/>
                                <w:szCs w:val="24"/>
                              </w:rPr>
                              <w:t>6000 吨草铵膦原药、20000 吨甲基亚硫酸二乙酯等项目。</w:t>
                            </w:r>
                          </w:p>
                        </w:txbxContent>
                      </wps:txbx>
                      <wps:bodyPr lIns="0" tIns="0" rIns="0" bIns="0" upright="1"/>
                    </wps:wsp>
                  </a:graphicData>
                </a:graphic>
              </wp:inline>
            </w:drawing>
          </mc:Choice>
          <mc:Fallback>
            <w:pict>
              <v:rect id="Quad Arrow 7" o:spid="_x0000_s1026" o:spt="1" style="height:307.6pt;width:421.45pt;" filled="f" stroked="t" coordsize="21600,21600" o:gfxdata="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gD54C1gAAAAUBAAAPAAAAAAAAAAEAIAAAACIAAABkcnMvZG93bnJldi54bWxQSwEC&#10;FAAUAAAACACHTuJAUXIImPYBAAD/AwAADgAAAAAAAAABACAAAAAlAQAAZHJzL2Uyb0RvYy54bWxQ&#10;SwUGAAAAAAYABgBZAQAAjQUAAAAA&#10;">
                <v:fill on="f" focussize="0,0"/>
                <v:stroke weight="0.47992125984252pt" color="#000000" joinstyle="miter"/>
                <v:imagedata o:title=""/>
                <o:lock v:ext="edit" rotation="t" aspectratio="f"/>
                <v:textbox inset="0mm,0mm,0mm,0mm">
                  <w:txbxContent>
                    <w:p>
                      <w:pPr>
                        <w:spacing w:before="0" w:line="275" w:lineRule="exact"/>
                        <w:ind w:left="103" w:right="0" w:firstLine="0"/>
                        <w:jc w:val="left"/>
                        <w:rPr>
                          <w:rFonts w:hint="eastAsia" w:ascii="Microsoft JhengHei" w:eastAsia="Microsoft JhengHei"/>
                          <w:b/>
                          <w:sz w:val="21"/>
                        </w:rPr>
                      </w:pPr>
                    </w:p>
                    <w:p>
                      <w:pPr>
                        <w:keepNext w:val="0"/>
                        <w:keepLines w:val="0"/>
                        <w:pageBreakBefore w:val="0"/>
                        <w:widowControl w:val="0"/>
                        <w:kinsoku/>
                        <w:wordWrap/>
                        <w:overflowPunct/>
                        <w:topLinePunct w:val="0"/>
                        <w:autoSpaceDE/>
                        <w:autoSpaceDN/>
                        <w:bidi w:val="0"/>
                        <w:adjustRightInd/>
                        <w:snapToGrid/>
                        <w:spacing w:before="0" w:line="360" w:lineRule="auto"/>
                        <w:ind w:left="424" w:leftChars="48" w:right="0" w:hanging="323" w:hangingChars="134"/>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主要产品：</w:t>
                      </w:r>
                      <w:r>
                        <w:rPr>
                          <w:rFonts w:hint="eastAsia" w:ascii="仿宋_GB2312" w:hAnsi="仿宋_GB2312" w:eastAsia="仿宋_GB2312" w:cs="仿宋_GB2312"/>
                          <w:sz w:val="24"/>
                          <w:szCs w:val="24"/>
                        </w:rPr>
                        <w:t>丙炔噁草酮、三氮唑钠、解毒喹、杀线威肟</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L-苯丙氨酸、美伐他汀、敌稗、克菌丹、敌草隆等精细化工产品。</w:t>
                      </w:r>
                    </w:p>
                    <w:p>
                      <w:pPr>
                        <w:keepNext w:val="0"/>
                        <w:keepLines w:val="0"/>
                        <w:pageBreakBefore w:val="0"/>
                        <w:widowControl w:val="0"/>
                        <w:kinsoku/>
                        <w:wordWrap/>
                        <w:overflowPunct/>
                        <w:topLinePunct w:val="0"/>
                        <w:autoSpaceDE/>
                        <w:autoSpaceDN/>
                        <w:bidi w:val="0"/>
                        <w:adjustRightInd/>
                        <w:snapToGrid/>
                        <w:spacing w:before="0" w:line="360" w:lineRule="auto"/>
                        <w:ind w:left="424" w:leftChars="48" w:right="5" w:hanging="323" w:hangingChars="134"/>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产业链：</w:t>
                      </w:r>
                      <w:r>
                        <w:rPr>
                          <w:rFonts w:hint="eastAsia" w:ascii="仿宋_GB2312" w:hAnsi="仿宋_GB2312" w:eastAsia="仿宋_GB2312" w:cs="仿宋_GB2312"/>
                          <w:sz w:val="24"/>
                          <w:szCs w:val="24"/>
                        </w:rPr>
                        <w:t>葡萄糖、磷酸氢二钾—L-苯丙氨酸；葡萄糖、甘油→美伐他汀；二氯苯胺、丙酸、二钠盐—敌稗；双氧水、纯碱、四氢亚胺—克菌丹；3.4-二氯苯胺—敌草隆原药等产业链。</w:t>
                      </w:r>
                    </w:p>
                    <w:p>
                      <w:pPr>
                        <w:keepNext w:val="0"/>
                        <w:keepLines w:val="0"/>
                        <w:pageBreakBefore w:val="0"/>
                        <w:widowControl w:val="0"/>
                        <w:kinsoku/>
                        <w:wordWrap/>
                        <w:overflowPunct/>
                        <w:topLinePunct w:val="0"/>
                        <w:autoSpaceDE/>
                        <w:autoSpaceDN/>
                        <w:bidi w:val="0"/>
                        <w:adjustRightInd/>
                        <w:snapToGrid/>
                        <w:spacing w:before="16" w:line="360" w:lineRule="auto"/>
                        <w:ind w:left="419" w:leftChars="85" w:right="271" w:hanging="241" w:hangingChars="1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对接方向：</w:t>
                      </w:r>
                      <w:r>
                        <w:rPr>
                          <w:rFonts w:hint="eastAsia" w:ascii="仿宋_GB2312" w:hAnsi="仿宋_GB2312" w:eastAsia="仿宋_GB2312" w:cs="仿宋_GB2312"/>
                          <w:sz w:val="24"/>
                          <w:szCs w:val="24"/>
                        </w:rPr>
                        <w:t>山东理工大学、天津大学、天津理工大学、浙江大学、武汉轻工大学、青岛科技大学等。</w:t>
                      </w:r>
                    </w:p>
                    <w:p>
                      <w:pPr>
                        <w:keepNext w:val="0"/>
                        <w:keepLines w:val="0"/>
                        <w:pageBreakBefore w:val="0"/>
                        <w:widowControl w:val="0"/>
                        <w:kinsoku/>
                        <w:wordWrap/>
                        <w:overflowPunct/>
                        <w:topLinePunct w:val="0"/>
                        <w:autoSpaceDE/>
                        <w:autoSpaceDN/>
                        <w:bidi w:val="0"/>
                        <w:adjustRightInd/>
                        <w:snapToGrid/>
                        <w:spacing w:before="0" w:line="360" w:lineRule="auto"/>
                        <w:ind w:left="342" w:leftChars="48" w:right="5" w:hanging="241" w:hangingChars="1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重点企业：</w:t>
                      </w:r>
                      <w:r>
                        <w:rPr>
                          <w:rFonts w:hint="eastAsia" w:ascii="仿宋_GB2312" w:hAnsi="仿宋_GB2312" w:eastAsia="仿宋_GB2312" w:cs="仿宋_GB2312"/>
                          <w:sz w:val="24"/>
                          <w:szCs w:val="24"/>
                        </w:rPr>
                        <w:t>宁夏蓝田农业开发有限公司、丽珠集团（宁夏）制药有限公司、宁夏森萱药业有限公司、宁夏格瑞精细化工有限公司、宁夏新安科技有限公司等。</w:t>
                      </w:r>
                    </w:p>
                    <w:p>
                      <w:pPr>
                        <w:keepNext w:val="0"/>
                        <w:keepLines w:val="0"/>
                        <w:pageBreakBefore w:val="0"/>
                        <w:widowControl w:val="0"/>
                        <w:kinsoku/>
                        <w:wordWrap/>
                        <w:overflowPunct/>
                        <w:topLinePunct w:val="0"/>
                        <w:autoSpaceDE/>
                        <w:autoSpaceDN/>
                        <w:bidi w:val="0"/>
                        <w:adjustRightInd/>
                        <w:snapToGrid/>
                        <w:spacing w:before="3" w:line="360" w:lineRule="auto"/>
                        <w:ind w:left="332" w:leftChars="48" w:right="96" w:hanging="231" w:hangingChars="1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spacing w:val="-5"/>
                          <w:sz w:val="24"/>
                          <w:szCs w:val="24"/>
                        </w:rPr>
                        <w:t>重点项目：</w:t>
                      </w:r>
                      <w:r>
                        <w:rPr>
                          <w:rFonts w:hint="eastAsia" w:ascii="仿宋_GB2312" w:hAnsi="仿宋_GB2312" w:eastAsia="仿宋_GB2312" w:cs="仿宋_GB2312"/>
                          <w:spacing w:val="-8"/>
                          <w:sz w:val="24"/>
                          <w:szCs w:val="24"/>
                        </w:rPr>
                        <w:t>蓝博思高附加值医药、材料中试基地建设项目</w:t>
                      </w:r>
                      <w:r>
                        <w:rPr>
                          <w:rFonts w:hint="eastAsia" w:ascii="仿宋_GB2312" w:hAnsi="仿宋_GB2312" w:eastAsia="仿宋_GB2312" w:cs="仿宋_GB2312"/>
                          <w:spacing w:val="-4"/>
                          <w:sz w:val="24"/>
                          <w:szCs w:val="24"/>
                        </w:rPr>
                        <w:t xml:space="preserve">，格瑞精细化工年产 </w:t>
                      </w:r>
                      <w:r>
                        <w:rPr>
                          <w:rFonts w:hint="eastAsia" w:ascii="仿宋_GB2312" w:hAnsi="仿宋_GB2312" w:eastAsia="仿宋_GB2312" w:cs="仿宋_GB2312"/>
                          <w:sz w:val="24"/>
                          <w:szCs w:val="24"/>
                        </w:rPr>
                        <w:t xml:space="preserve">1000 </w:t>
                      </w:r>
                      <w:r>
                        <w:rPr>
                          <w:rFonts w:hint="eastAsia" w:ascii="仿宋_GB2312" w:hAnsi="仿宋_GB2312" w:eastAsia="仿宋_GB2312" w:cs="仿宋_GB2312"/>
                          <w:spacing w:val="-4"/>
                          <w:sz w:val="24"/>
                          <w:szCs w:val="24"/>
                        </w:rPr>
                        <w:t xml:space="preserve">吨甲磺草胺，新安科技年产 </w:t>
                      </w:r>
                      <w:r>
                        <w:rPr>
                          <w:rFonts w:hint="eastAsia" w:ascii="仿宋_GB2312" w:hAnsi="仿宋_GB2312" w:eastAsia="仿宋_GB2312" w:cs="仿宋_GB2312"/>
                          <w:sz w:val="24"/>
                          <w:szCs w:val="24"/>
                        </w:rPr>
                        <w:t>6000 吨草铵膦原药、20000 吨甲基亚硫酸二乙酯等项目。</w:t>
                      </w:r>
                    </w:p>
                  </w:txbxContent>
                </v:textbox>
                <w10:wrap type="none"/>
                <w10:anchorlock/>
              </v:rect>
            </w:pict>
          </mc:Fallback>
        </mc:AlternateConten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firstLine="602" w:firstLineChars="200"/>
        <w:textAlignment w:val="auto"/>
        <w:rPr>
          <w:rFonts w:hint="eastAsia" w:ascii="仿宋_GB2312" w:hAnsi="仿宋_GB2312" w:eastAsia="仿宋_GB2312" w:cs="仿宋_GB2312"/>
          <w:b w:val="0"/>
          <w:bCs w:val="0"/>
          <w:color w:val="000000" w:themeColor="text1"/>
          <w:spacing w:val="-21"/>
          <w:sz w:val="30"/>
          <w:szCs w:val="30"/>
          <w14:textFill>
            <w14:solidFill>
              <w14:schemeClr w14:val="tx1"/>
            </w14:solidFill>
          </w14:textFill>
        </w:rPr>
      </w:pPr>
      <w:r>
        <w:rPr>
          <w:rFonts w:hint="eastAsia" w:ascii="仿宋_GB2312" w:hAnsi="仿宋_GB2312" w:eastAsia="仿宋_GB2312" w:cs="仿宋_GB2312"/>
          <w:b/>
          <w:bCs/>
          <w:color w:val="000000" w:themeColor="text1"/>
          <w:sz w:val="30"/>
          <w:szCs w:val="30"/>
          <w:lang w:val="en-US" w:eastAsia="zh-CN"/>
          <w14:textFill>
            <w14:solidFill>
              <w14:schemeClr w14:val="tx1"/>
            </w14:solidFill>
          </w14:textFill>
        </w:rPr>
        <w:t>3.</w:t>
      </w:r>
      <w:r>
        <w:rPr>
          <w:rFonts w:hint="eastAsia" w:ascii="仿宋_GB2312" w:hAnsi="仿宋_GB2312" w:eastAsia="仿宋_GB2312" w:cs="仿宋_GB2312"/>
          <w:b/>
          <w:bCs/>
          <w:color w:val="000000" w:themeColor="text1"/>
          <w:sz w:val="30"/>
          <w:szCs w:val="30"/>
          <w14:textFill>
            <w14:solidFill>
              <w14:schemeClr w14:val="tx1"/>
            </w14:solidFill>
          </w14:textFill>
        </w:rPr>
        <w:t>炭基材料。</w:t>
      </w:r>
      <w:r>
        <w:rPr>
          <w:rFonts w:hint="eastAsia" w:ascii="仿宋_GB2312" w:hAnsi="仿宋_GB2312" w:eastAsia="仿宋_GB2312" w:cs="仿宋_GB2312"/>
          <w:b w:val="0"/>
          <w:bCs w:val="0"/>
          <w:color w:val="000000" w:themeColor="text1"/>
          <w:spacing w:val="-11"/>
          <w:w w:val="95"/>
          <w:sz w:val="30"/>
          <w:szCs w:val="30"/>
          <w14:textFill>
            <w14:solidFill>
              <w14:schemeClr w14:val="tx1"/>
            </w14:solidFill>
          </w14:textFill>
        </w:rPr>
        <w:t>坚持“严控总量、错位发展、高端发展”的</w:t>
      </w:r>
      <w:r>
        <w:rPr>
          <w:rFonts w:hint="eastAsia" w:ascii="仿宋_GB2312" w:hAnsi="仿宋_GB2312" w:eastAsia="仿宋_GB2312" w:cs="仿宋_GB2312"/>
          <w:b w:val="0"/>
          <w:bCs w:val="0"/>
          <w:color w:val="000000" w:themeColor="text1"/>
          <w:spacing w:val="-12"/>
          <w:sz w:val="30"/>
          <w:szCs w:val="30"/>
          <w14:textFill>
            <w14:solidFill>
              <w14:schemeClr w14:val="tx1"/>
            </w14:solidFill>
          </w14:textFill>
        </w:rPr>
        <w:t>原则，加快新产品、新技术、新工艺和新装备研发推广，着力提升价值链</w:t>
      </w:r>
      <w:r>
        <w:rPr>
          <w:rFonts w:hint="eastAsia" w:ascii="仿宋_GB2312" w:hAnsi="仿宋_GB2312" w:eastAsia="仿宋_GB2312" w:cs="仿宋_GB2312"/>
          <w:b w:val="0"/>
          <w:bCs w:val="0"/>
          <w:color w:val="000000" w:themeColor="text1"/>
          <w:spacing w:val="-12"/>
          <w:sz w:val="30"/>
          <w:szCs w:val="30"/>
          <w:lang w:eastAsia="zh-CN"/>
          <w14:textFill>
            <w14:solidFill>
              <w14:schemeClr w14:val="tx1"/>
            </w14:solidFill>
          </w14:textFill>
        </w:rPr>
        <w:t>。</w:t>
      </w:r>
      <w:r>
        <w:rPr>
          <w:rFonts w:hint="eastAsia" w:ascii="仿宋_GB2312" w:hAnsi="仿宋_GB2312" w:eastAsia="仿宋_GB2312" w:cs="仿宋_GB2312"/>
          <w:b w:val="0"/>
          <w:bCs w:val="0"/>
          <w:color w:val="000000" w:themeColor="text1"/>
          <w:spacing w:val="-41"/>
          <w:sz w:val="30"/>
          <w:szCs w:val="30"/>
          <w14:textFill>
            <w14:solidFill>
              <w14:schemeClr w14:val="tx1"/>
            </w14:solidFill>
          </w14:textFill>
        </w:rPr>
        <w:t xml:space="preserve">到 </w:t>
      </w:r>
      <w:r>
        <w:rPr>
          <w:rFonts w:hint="eastAsia" w:ascii="仿宋_GB2312" w:hAnsi="仿宋_GB2312" w:eastAsia="仿宋_GB2312" w:cs="仿宋_GB2312"/>
          <w:b w:val="0"/>
          <w:bCs w:val="0"/>
          <w:color w:val="000000" w:themeColor="text1"/>
          <w:sz w:val="30"/>
          <w:szCs w:val="30"/>
          <w14:textFill>
            <w14:solidFill>
              <w14:schemeClr w14:val="tx1"/>
            </w14:solidFill>
          </w14:textFill>
        </w:rPr>
        <w:t>202</w:t>
      </w:r>
      <w:r>
        <w:rPr>
          <w:rFonts w:hint="eastAsia" w:ascii="仿宋_GB2312" w:hAnsi="仿宋_GB2312" w:eastAsia="仿宋_GB2312" w:cs="仿宋_GB2312"/>
          <w:b w:val="0"/>
          <w:bCs w:val="0"/>
          <w:color w:val="000000" w:themeColor="text1"/>
          <w:sz w:val="30"/>
          <w:szCs w:val="30"/>
          <w:lang w:val="en-US" w:eastAsia="zh-CN"/>
          <w14:textFill>
            <w14:solidFill>
              <w14:schemeClr w14:val="tx1"/>
            </w14:solidFill>
          </w14:textFill>
        </w:rPr>
        <w:t>5</w:t>
      </w:r>
      <w:r>
        <w:rPr>
          <w:rFonts w:hint="eastAsia" w:ascii="仿宋_GB2312" w:hAnsi="仿宋_GB2312" w:eastAsia="仿宋_GB2312" w:cs="仿宋_GB2312"/>
          <w:b w:val="0"/>
          <w:bCs w:val="0"/>
          <w:color w:val="000000" w:themeColor="text1"/>
          <w:spacing w:val="-16"/>
          <w:sz w:val="30"/>
          <w:szCs w:val="30"/>
          <w14:textFill>
            <w14:solidFill>
              <w14:schemeClr w14:val="tx1"/>
            </w14:solidFill>
          </w14:textFill>
        </w:rPr>
        <w:t xml:space="preserve"> 年，</w:t>
      </w:r>
      <w:r>
        <w:rPr>
          <w:rFonts w:hint="eastAsia" w:ascii="仿宋_GB2312" w:hAnsi="仿宋_GB2312" w:eastAsia="仿宋_GB2312" w:cs="仿宋_GB2312"/>
          <w:b w:val="0"/>
          <w:bCs w:val="0"/>
          <w:color w:val="000000" w:themeColor="text1"/>
          <w:spacing w:val="-12"/>
          <w:sz w:val="30"/>
          <w:szCs w:val="30"/>
          <w14:textFill>
            <w14:solidFill>
              <w14:schemeClr w14:val="tx1"/>
            </w14:solidFill>
          </w14:textFill>
        </w:rPr>
        <w:t>打造</w:t>
      </w:r>
      <w:r>
        <w:rPr>
          <w:rFonts w:hint="eastAsia" w:ascii="仿宋_GB2312" w:hAnsi="仿宋_GB2312" w:eastAsia="仿宋_GB2312" w:cs="仿宋_GB2312"/>
          <w:b w:val="0"/>
          <w:bCs w:val="0"/>
          <w:color w:val="000000" w:themeColor="text1"/>
          <w:spacing w:val="-12"/>
          <w:sz w:val="30"/>
          <w:szCs w:val="30"/>
          <w:lang w:eastAsia="zh-CN"/>
          <w14:textFill>
            <w14:solidFill>
              <w14:schemeClr w14:val="tx1"/>
            </w14:solidFill>
          </w14:textFill>
        </w:rPr>
        <w:t>具有影响力</w:t>
      </w:r>
      <w:r>
        <w:rPr>
          <w:rFonts w:hint="eastAsia" w:ascii="仿宋_GB2312" w:hAnsi="仿宋_GB2312" w:eastAsia="仿宋_GB2312" w:cs="仿宋_GB2312"/>
          <w:b w:val="0"/>
          <w:bCs w:val="0"/>
          <w:color w:val="000000" w:themeColor="text1"/>
          <w:spacing w:val="-12"/>
          <w:sz w:val="30"/>
          <w:szCs w:val="30"/>
          <w14:textFill>
            <w14:solidFill>
              <w14:schemeClr w14:val="tx1"/>
            </w14:solidFill>
          </w14:textFill>
        </w:rPr>
        <w:t>的碳基材料生产基地</w:t>
      </w:r>
      <w:r>
        <w:rPr>
          <w:rFonts w:hint="eastAsia" w:ascii="仿宋_GB2312" w:hAnsi="仿宋_GB2312" w:eastAsia="仿宋_GB2312" w:cs="仿宋_GB2312"/>
          <w:b w:val="0"/>
          <w:bCs w:val="0"/>
          <w:color w:val="000000" w:themeColor="text1"/>
          <w:spacing w:val="-21"/>
          <w:sz w:val="30"/>
          <w:szCs w:val="30"/>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02" w:firstLineChars="200"/>
        <w:textAlignment w:val="auto"/>
        <w:rPr>
          <w:rFonts w:hint="eastAsia" w:ascii="仿宋_GB2312" w:hAnsi="仿宋_GB2312" w:eastAsia="仿宋_GB2312" w:cs="仿宋_GB2312"/>
          <w:bCs/>
          <w:color w:val="000000" w:themeColor="text1"/>
          <w:sz w:val="30"/>
          <w:szCs w:val="30"/>
          <w14:textFill>
            <w14:solidFill>
              <w14:schemeClr w14:val="tx1"/>
            </w14:solidFill>
          </w14:textFill>
        </w:rPr>
      </w:pPr>
      <w:r>
        <w:rPr>
          <w:rFonts w:hint="eastAsia" w:ascii="仿宋_GB2312" w:hAnsi="仿宋_GB2312" w:eastAsia="仿宋_GB2312" w:cs="仿宋_GB2312"/>
          <w:b/>
          <w:bCs w:val="0"/>
          <w:color w:val="000000" w:themeColor="text1"/>
          <w:sz w:val="30"/>
          <w:szCs w:val="30"/>
          <w:lang w:eastAsia="zh-CN"/>
          <w14:textFill>
            <w14:solidFill>
              <w14:schemeClr w14:val="tx1"/>
            </w14:solidFill>
          </w14:textFill>
        </w:rPr>
        <w:t>鼓励产品多元化发展。</w:t>
      </w:r>
      <w:r>
        <w:rPr>
          <w:rFonts w:hint="eastAsia" w:ascii="仿宋_GB2312" w:hAnsi="仿宋_GB2312" w:eastAsia="仿宋_GB2312" w:cs="仿宋_GB2312"/>
          <w:bCs/>
          <w:color w:val="000000" w:themeColor="text1"/>
          <w:sz w:val="30"/>
          <w:szCs w:val="30"/>
          <w14:textFill>
            <w14:solidFill>
              <w14:schemeClr w14:val="tx1"/>
            </w14:solidFill>
          </w14:textFill>
        </w:rPr>
        <w:t>围绕现有碳基材料产业基础，突出滨河碳化硅</w:t>
      </w:r>
      <w:r>
        <w:rPr>
          <w:rFonts w:hint="eastAsia" w:ascii="仿宋_GB2312" w:hAnsi="仿宋_GB2312" w:eastAsia="仿宋_GB2312" w:cs="仿宋_GB2312"/>
          <w:bCs/>
          <w:color w:val="000000" w:themeColor="text1"/>
          <w:sz w:val="30"/>
          <w:szCs w:val="30"/>
          <w:lang w:eastAsia="zh-CN"/>
          <w14:textFill>
            <w14:solidFill>
              <w14:schemeClr w14:val="tx1"/>
            </w14:solidFill>
          </w14:textFill>
        </w:rPr>
        <w:t>、国宁活性炭、宁平炭素</w:t>
      </w:r>
      <w:r>
        <w:rPr>
          <w:rFonts w:hint="eastAsia" w:ascii="仿宋_GB2312" w:hAnsi="仿宋_GB2312" w:eastAsia="仿宋_GB2312" w:cs="仿宋_GB2312"/>
          <w:bCs/>
          <w:color w:val="000000" w:themeColor="text1"/>
          <w:sz w:val="30"/>
          <w:szCs w:val="30"/>
          <w14:textFill>
            <w14:solidFill>
              <w14:schemeClr w14:val="tx1"/>
            </w14:solidFill>
          </w14:textFill>
        </w:rPr>
        <w:t>等龙头企业示范带动作用，</w:t>
      </w:r>
      <w:r>
        <w:rPr>
          <w:rFonts w:hint="eastAsia" w:ascii="仿宋_GB2312" w:hAnsi="仿宋_GB2312" w:eastAsia="仿宋_GB2312" w:cs="仿宋_GB2312"/>
          <w:bCs/>
          <w:color w:val="000000" w:themeColor="text1"/>
          <w:sz w:val="30"/>
          <w:szCs w:val="30"/>
          <w:lang w:eastAsia="zh-CN"/>
          <w14:textFill>
            <w14:solidFill>
              <w14:schemeClr w14:val="tx1"/>
            </w14:solidFill>
          </w14:textFill>
        </w:rPr>
        <w:t>重点发展</w:t>
      </w:r>
      <w:r>
        <w:rPr>
          <w:rFonts w:hint="eastAsia" w:ascii="仿宋_GB2312" w:hAnsi="仿宋_GB2312" w:eastAsia="仿宋_GB2312" w:cs="仿宋_GB2312"/>
          <w:b w:val="0"/>
          <w:i w:val="0"/>
          <w:color w:val="000000" w:themeColor="text1"/>
          <w:sz w:val="30"/>
          <w:szCs w:val="30"/>
          <w14:textFill>
            <w14:solidFill>
              <w14:schemeClr w14:val="tx1"/>
            </w14:solidFill>
          </w14:textFill>
        </w:rPr>
        <w:t>碳化硅</w:t>
      </w:r>
      <w:r>
        <w:rPr>
          <w:rFonts w:hint="eastAsia" w:ascii="仿宋_GB2312" w:hAnsi="仿宋_GB2312" w:eastAsia="仿宋_GB2312" w:cs="仿宋_GB2312"/>
          <w:b w:val="0"/>
          <w:i w:val="0"/>
          <w:color w:val="000000" w:themeColor="text1"/>
          <w:sz w:val="30"/>
          <w:szCs w:val="30"/>
          <w:lang w:val="en-US" w:eastAsia="zh-CN"/>
          <w14:textFill>
            <w14:solidFill>
              <w14:schemeClr w14:val="tx1"/>
            </w14:solidFill>
          </w14:textFill>
        </w:rPr>
        <w:t>-</w:t>
      </w:r>
      <w:r>
        <w:rPr>
          <w:rFonts w:hint="eastAsia" w:ascii="仿宋_GB2312" w:hAnsi="仿宋_GB2312" w:eastAsia="仿宋_GB2312" w:cs="仿宋_GB2312"/>
          <w:b w:val="0"/>
          <w:i w:val="0"/>
          <w:color w:val="000000" w:themeColor="text1"/>
          <w:sz w:val="30"/>
          <w:szCs w:val="30"/>
          <w14:textFill>
            <w14:solidFill>
              <w14:schemeClr w14:val="tx1"/>
            </w14:solidFill>
          </w14:textFill>
        </w:rPr>
        <w:t>碳化硅微粉</w:t>
      </w:r>
      <w:r>
        <w:rPr>
          <w:rFonts w:hint="eastAsia" w:ascii="仿宋_GB2312" w:hAnsi="仿宋_GB2312" w:eastAsia="仿宋_GB2312" w:cs="仿宋_GB2312"/>
          <w:b w:val="0"/>
          <w:i w:val="0"/>
          <w:color w:val="000000" w:themeColor="text1"/>
          <w:sz w:val="30"/>
          <w:szCs w:val="30"/>
          <w:lang w:val="en-US" w:eastAsia="zh-CN"/>
          <w14:textFill>
            <w14:solidFill>
              <w14:schemeClr w14:val="tx1"/>
            </w14:solidFill>
          </w14:textFill>
        </w:rPr>
        <w:t>/</w:t>
      </w:r>
      <w:r>
        <w:rPr>
          <w:rFonts w:hint="eastAsia" w:ascii="仿宋_GB2312" w:hAnsi="仿宋_GB2312" w:eastAsia="仿宋_GB2312" w:cs="仿宋_GB2312"/>
          <w:bCs/>
          <w:color w:val="000000" w:themeColor="text1"/>
          <w:sz w:val="30"/>
          <w:szCs w:val="30"/>
          <w14:textFill>
            <w14:solidFill>
              <w14:schemeClr w14:val="tx1"/>
            </w14:solidFill>
          </w14:textFill>
        </w:rPr>
        <w:t>氮化物结合碳化硅耐火材料</w:t>
      </w:r>
      <w:r>
        <w:rPr>
          <w:rFonts w:hint="eastAsia" w:ascii="仿宋_GB2312" w:hAnsi="仿宋_GB2312" w:eastAsia="仿宋_GB2312" w:cs="仿宋_GB2312"/>
          <w:b w:val="0"/>
          <w:i w:val="0"/>
          <w:color w:val="000000" w:themeColor="text1"/>
          <w:sz w:val="30"/>
          <w:szCs w:val="30"/>
          <w:lang w:val="en-US" w:eastAsia="zh-CN"/>
          <w14:textFill>
            <w14:solidFill>
              <w14:schemeClr w14:val="tx1"/>
            </w14:solidFill>
          </w14:textFill>
        </w:rPr>
        <w:t>/</w:t>
      </w:r>
      <w:r>
        <w:rPr>
          <w:rFonts w:hint="eastAsia" w:ascii="仿宋_GB2312" w:hAnsi="仿宋_GB2312" w:eastAsia="仿宋_GB2312" w:cs="仿宋_GB2312"/>
          <w:bCs/>
          <w:color w:val="000000" w:themeColor="text1"/>
          <w:sz w:val="30"/>
          <w:szCs w:val="30"/>
          <w14:textFill>
            <w14:solidFill>
              <w14:schemeClr w14:val="tx1"/>
            </w14:solidFill>
          </w14:textFill>
        </w:rPr>
        <w:t>高性能纯结晶碳化硅陶瓷</w:t>
      </w:r>
      <w:r>
        <w:rPr>
          <w:rFonts w:hint="eastAsia" w:ascii="仿宋_GB2312" w:hAnsi="仿宋_GB2312" w:eastAsia="仿宋_GB2312" w:cs="仿宋_GB2312"/>
          <w:bCs/>
          <w:color w:val="000000" w:themeColor="text1"/>
          <w:sz w:val="30"/>
          <w:szCs w:val="30"/>
          <w:lang w:val="en-US" w:eastAsia="zh-CN"/>
          <w14:textFill>
            <w14:solidFill>
              <w14:schemeClr w14:val="tx1"/>
            </w14:solidFill>
          </w14:textFill>
        </w:rPr>
        <w:t>-</w:t>
      </w:r>
      <w:r>
        <w:rPr>
          <w:rFonts w:hint="eastAsia" w:ascii="仿宋_GB2312" w:hAnsi="仿宋_GB2312" w:eastAsia="仿宋_GB2312" w:cs="仿宋_GB2312"/>
          <w:b w:val="0"/>
          <w:i w:val="0"/>
          <w:color w:val="000000" w:themeColor="text1"/>
          <w:sz w:val="30"/>
          <w:szCs w:val="30"/>
          <w14:textFill>
            <w14:solidFill>
              <w14:schemeClr w14:val="tx1"/>
            </w14:solidFill>
          </w14:textFill>
        </w:rPr>
        <w:t>碳化硅冶炼尾气废渣综合利用</w:t>
      </w:r>
      <w:r>
        <w:rPr>
          <w:rFonts w:hint="eastAsia" w:ascii="仿宋_GB2312" w:hAnsi="仿宋_GB2312" w:eastAsia="仿宋_GB2312" w:cs="仿宋_GB2312"/>
          <w:b w:val="0"/>
          <w:i w:val="0"/>
          <w:color w:val="000000" w:themeColor="text1"/>
          <w:sz w:val="30"/>
          <w:szCs w:val="30"/>
          <w:lang w:val="en-US" w:eastAsia="zh-CN"/>
          <w14:textFill>
            <w14:solidFill>
              <w14:schemeClr w14:val="tx1"/>
            </w14:solidFill>
          </w14:textFill>
        </w:rPr>
        <w:t>;活性炭-军用活性炭/催化剂载体/生活用净水/净气高端活性炭；炭素-石墨级负极材料/石墨烯等，</w:t>
      </w:r>
      <w:r>
        <w:rPr>
          <w:rFonts w:hint="eastAsia" w:ascii="仿宋_GB2312" w:hAnsi="仿宋_GB2312" w:eastAsia="仿宋_GB2312" w:cs="仿宋_GB2312"/>
          <w:bCs/>
          <w:color w:val="000000" w:themeColor="text1"/>
          <w:sz w:val="30"/>
          <w:szCs w:val="30"/>
          <w14:textFill>
            <w14:solidFill>
              <w14:schemeClr w14:val="tx1"/>
            </w14:solidFill>
          </w14:textFill>
        </w:rPr>
        <w:t>加快向高端、节能环保、特种应用领域转变。</w:t>
      </w:r>
    </w:p>
    <w:p>
      <w:pPr>
        <w:keepNext w:val="0"/>
        <w:keepLines w:val="0"/>
        <w:pageBreakBefore w:val="0"/>
        <w:widowControl w:val="0"/>
        <w:kinsoku/>
        <w:wordWrap/>
        <w:overflowPunct/>
        <w:topLinePunct w:val="0"/>
        <w:autoSpaceDE/>
        <w:autoSpaceDN/>
        <w:bidi w:val="0"/>
        <w:adjustRightInd w:val="0"/>
        <w:snapToGrid w:val="0"/>
        <w:spacing w:line="560" w:lineRule="exact"/>
        <w:ind w:firstLine="602" w:firstLineChars="200"/>
        <w:textAlignment w:val="auto"/>
        <w:rPr>
          <w:rFonts w:hint="eastAsia"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b/>
          <w:bCs w:val="0"/>
          <w:color w:val="000000" w:themeColor="text1"/>
          <w:sz w:val="30"/>
          <w:szCs w:val="30"/>
          <w:lang w:eastAsia="zh-CN"/>
          <w14:textFill>
            <w14:solidFill>
              <w14:schemeClr w14:val="tx1"/>
            </w14:solidFill>
          </w14:textFill>
        </w:rPr>
        <w:t>建立压减能耗淘汰机制。</w:t>
      </w:r>
      <w:r>
        <w:rPr>
          <w:rFonts w:hint="eastAsia" w:ascii="仿宋_GB2312" w:hAnsi="仿宋_GB2312" w:eastAsia="仿宋_GB2312" w:cs="仿宋_GB2312"/>
          <w:b w:val="0"/>
          <w:bCs/>
          <w:color w:val="000000" w:themeColor="text1"/>
          <w:sz w:val="30"/>
          <w:szCs w:val="30"/>
          <w:lang w:eastAsia="zh-CN"/>
          <w14:textFill>
            <w14:solidFill>
              <w14:schemeClr w14:val="tx1"/>
            </w14:solidFill>
          </w14:textFill>
        </w:rPr>
        <w:t>依据《宁夏回族自治区能耗双控产业管控目录》，</w:t>
      </w:r>
      <w:r>
        <w:rPr>
          <w:rFonts w:hint="eastAsia" w:ascii="仿宋_GB2312" w:hAnsi="仿宋_GB2312" w:eastAsia="仿宋_GB2312" w:cs="仿宋_GB2312"/>
          <w:bCs/>
          <w:color w:val="000000" w:themeColor="text1"/>
          <w:sz w:val="30"/>
          <w:szCs w:val="30"/>
          <w:lang w:eastAsia="zh-CN"/>
          <w14:textFill>
            <w14:solidFill>
              <w14:schemeClr w14:val="tx1"/>
            </w14:solidFill>
          </w14:textFill>
        </w:rPr>
        <w:t>排查现有炭素、活性炭产能情况，依据综合评价亩均效益等考核指标，建立梯次淘汰计划，通过逐年减压淘汰低端产能，提升产业集中度，大幅降低能耗强度水平，为下游高端产品和新建项目腾退能耗空间。</w:t>
      </w:r>
      <w:r>
        <w:rPr>
          <w:rFonts w:hint="eastAsia" w:ascii="仿宋_GB2312" w:hAnsi="仿宋_GB2312" w:eastAsia="仿宋_GB2312" w:cs="仿宋_GB2312"/>
          <w:bCs/>
          <w:color w:val="000000" w:themeColor="text1"/>
          <w:sz w:val="30"/>
          <w:szCs w:val="30"/>
          <w14:textFill>
            <w14:solidFill>
              <w14:schemeClr w14:val="tx1"/>
            </w14:solidFill>
          </w14:textFill>
        </w:rPr>
        <w:t>建设高端碳基材料产业园</w:t>
      </w:r>
      <w:r>
        <w:rPr>
          <w:rFonts w:hint="eastAsia" w:ascii="仿宋_GB2312" w:hAnsi="仿宋_GB2312" w:eastAsia="仿宋_GB2312" w:cs="仿宋_GB2312"/>
          <w:bCs/>
          <w:color w:val="000000" w:themeColor="text1"/>
          <w:sz w:val="30"/>
          <w:szCs w:val="30"/>
          <w:lang w:eastAsia="zh-CN"/>
          <w14:textFill>
            <w14:solidFill>
              <w14:schemeClr w14:val="tx1"/>
            </w14:solidFill>
          </w14:textFill>
        </w:rPr>
        <w:t>，充分利用“太西煤”资源，打造西部地区重要的的碳基材料精深加工区、最终打造成全国重要的煤基碳材生产、研发、交易基地、全国重要的优质无烟煤产品综合交易市场。</w:t>
      </w:r>
      <w:r>
        <w:rPr>
          <w:rFonts w:hint="eastAsia" w:ascii="仿宋_GB2312" w:hAnsi="仿宋_GB2312" w:eastAsia="仿宋_GB2312" w:cs="仿宋_GB2312"/>
          <w:bCs/>
          <w:color w:val="000000" w:themeColor="text1"/>
          <w:sz w:val="30"/>
          <w:szCs w:val="30"/>
          <w14:textFill>
            <w14:solidFill>
              <w14:schemeClr w14:val="tx1"/>
            </w14:solidFill>
          </w14:textFill>
        </w:rPr>
        <w:t>支持龙头骨干企业实施兼并重组，</w:t>
      </w:r>
      <w:r>
        <w:rPr>
          <w:rFonts w:hint="eastAsia" w:ascii="仿宋_GB2312" w:hAnsi="仿宋_GB2312" w:eastAsia="仿宋_GB2312" w:cs="仿宋_GB2312"/>
          <w:bCs/>
          <w:color w:val="000000" w:themeColor="text1"/>
          <w:sz w:val="30"/>
          <w:szCs w:val="30"/>
          <w:lang w:eastAsia="zh-CN"/>
          <w14:textFill>
            <w14:solidFill>
              <w14:schemeClr w14:val="tx1"/>
            </w14:solidFill>
          </w14:textFill>
        </w:rPr>
        <w:t>积极</w:t>
      </w:r>
      <w:r>
        <w:rPr>
          <w:rFonts w:hint="eastAsia" w:ascii="仿宋_GB2312" w:hAnsi="仿宋_GB2312" w:eastAsia="仿宋_GB2312" w:cs="仿宋_GB2312"/>
          <w:b w:val="0"/>
          <w:bCs w:val="0"/>
          <w:color w:val="000000" w:themeColor="text1"/>
          <w:spacing w:val="-15"/>
          <w:w w:val="95"/>
          <w:sz w:val="30"/>
          <w:szCs w:val="30"/>
          <w14:textFill>
            <w14:solidFill>
              <w14:schemeClr w14:val="tx1"/>
            </w14:solidFill>
          </w14:textFill>
        </w:rPr>
        <w:t>推广碳化硅封闭冶炼、尾气</w:t>
      </w:r>
      <w:r>
        <w:rPr>
          <w:rFonts w:hint="eastAsia" w:ascii="仿宋_GB2312" w:hAnsi="仿宋_GB2312" w:eastAsia="仿宋_GB2312" w:cs="仿宋_GB2312"/>
          <w:b w:val="0"/>
          <w:bCs w:val="0"/>
          <w:color w:val="000000" w:themeColor="text1"/>
          <w:spacing w:val="-15"/>
          <w:sz w:val="30"/>
          <w:szCs w:val="30"/>
          <w14:textFill>
            <w14:solidFill>
              <w14:schemeClr w14:val="tx1"/>
            </w14:solidFill>
          </w14:textFill>
        </w:rPr>
        <w:t>综合利用等新技术，提升行业装备技术水平</w:t>
      </w:r>
      <w:r>
        <w:rPr>
          <w:rFonts w:hint="eastAsia" w:ascii="仿宋_GB2312" w:hAnsi="仿宋_GB2312" w:eastAsia="仿宋_GB2312" w:cs="仿宋_GB2312"/>
          <w:bCs/>
          <w:color w:val="000000" w:themeColor="text1"/>
          <w:sz w:val="30"/>
          <w:szCs w:val="30"/>
          <w14:textFill>
            <w14:solidFill>
              <w14:schemeClr w14:val="tx1"/>
            </w14:solidFill>
          </w14:textFill>
        </w:rPr>
        <w:t>，保持碳基材料在国内的领先水平。</w:t>
      </w:r>
    </w:p>
    <w:p>
      <w:pPr>
        <w:pStyle w:val="8"/>
        <w:keepNext w:val="0"/>
        <w:keepLines w:val="0"/>
        <w:pageBreakBefore w:val="0"/>
        <w:widowControl w:val="0"/>
        <w:tabs>
          <w:tab w:val="left" w:pos="1199"/>
        </w:tabs>
        <w:kinsoku/>
        <w:wordWrap/>
        <w:overflowPunct/>
        <w:topLinePunct w:val="0"/>
        <w:autoSpaceDE/>
        <w:autoSpaceDN/>
        <w:bidi w:val="0"/>
        <w:spacing w:before="96" w:after="12" w:line="560" w:lineRule="exact"/>
        <w:ind w:right="57"/>
        <w:jc w:val="center"/>
        <w:textAlignment w:val="auto"/>
        <w:rPr>
          <w:rFonts w:hint="eastAsia" w:ascii="仿宋_GB2312" w:hAnsi="仿宋_GB2312" w:eastAsia="仿宋_GB2312" w:cs="仿宋_GB2312"/>
          <w:b/>
          <w:bCs/>
          <w:color w:val="000000" w:themeColor="text1"/>
          <w:sz w:val="30"/>
          <w:szCs w:val="30"/>
          <w14:textFill>
            <w14:solidFill>
              <w14:schemeClr w14:val="tx1"/>
            </w14:solidFill>
          </w14:textFill>
        </w:rPr>
      </w:pPr>
      <w:r>
        <w:rPr>
          <w:rFonts w:hint="eastAsia" w:ascii="仿宋_GB2312" w:hAnsi="仿宋_GB2312" w:eastAsia="仿宋_GB2312" w:cs="仿宋_GB2312"/>
          <w:b/>
          <w:bCs/>
          <w:color w:val="000000" w:themeColor="text1"/>
          <w:sz w:val="30"/>
          <w:szCs w:val="30"/>
          <w14:textFill>
            <w14:solidFill>
              <w14:schemeClr w14:val="tx1"/>
            </w14:solidFill>
          </w14:textFill>
        </w:rPr>
        <w:t>专栏</w:t>
      </w:r>
      <w:r>
        <w:rPr>
          <w:rFonts w:hint="eastAsia" w:cs="仿宋_GB2312"/>
          <w:b/>
          <w:bCs/>
          <w:color w:val="000000" w:themeColor="text1"/>
          <w:sz w:val="30"/>
          <w:szCs w:val="30"/>
          <w:lang w:val="en-US" w:eastAsia="zh-CN"/>
          <w14:textFill>
            <w14:solidFill>
              <w14:schemeClr w14:val="tx1"/>
            </w14:solidFill>
          </w14:textFill>
        </w:rPr>
        <w:t>1-</w:t>
      </w:r>
      <w:r>
        <w:rPr>
          <w:rFonts w:hint="eastAsia" w:ascii="仿宋_GB2312" w:hAnsi="仿宋_GB2312" w:eastAsia="仿宋_GB2312" w:cs="仿宋_GB2312"/>
          <w:b/>
          <w:bCs/>
          <w:color w:val="000000" w:themeColor="text1"/>
          <w:spacing w:val="-80"/>
          <w:sz w:val="30"/>
          <w:szCs w:val="30"/>
          <w:lang w:val="en-US" w:eastAsia="zh-CN"/>
          <w14:textFill>
            <w14:solidFill>
              <w14:schemeClr w14:val="tx1"/>
            </w14:solidFill>
          </w14:textFill>
        </w:rPr>
        <w:t>3</w:t>
      </w:r>
      <w:r>
        <w:rPr>
          <w:rFonts w:hint="eastAsia" w:ascii="仿宋_GB2312" w:hAnsi="仿宋_GB2312" w:eastAsia="仿宋_GB2312" w:cs="仿宋_GB2312"/>
          <w:b/>
          <w:bCs/>
          <w:color w:val="000000" w:themeColor="text1"/>
          <w:sz w:val="30"/>
          <w:szCs w:val="30"/>
          <w14:textFill>
            <w14:solidFill>
              <w14:schemeClr w14:val="tx1"/>
            </w14:solidFill>
          </w14:textFill>
        </w:rPr>
        <w:tab/>
      </w:r>
      <w:r>
        <w:rPr>
          <w:rFonts w:hint="eastAsia" w:ascii="仿宋_GB2312" w:hAnsi="仿宋_GB2312" w:eastAsia="仿宋_GB2312" w:cs="仿宋_GB2312"/>
          <w:b/>
          <w:bCs/>
          <w:color w:val="000000" w:themeColor="text1"/>
          <w:sz w:val="30"/>
          <w:szCs w:val="30"/>
          <w14:textFill>
            <w14:solidFill>
              <w14:schemeClr w14:val="tx1"/>
            </w14:solidFill>
          </w14:textFill>
        </w:rPr>
        <w:t>炭基材料</w:t>
      </w:r>
    </w:p>
    <w:p>
      <w:pPr>
        <w:pStyle w:val="8"/>
        <w:rPr>
          <w:rFonts w:ascii="黑体"/>
          <w:color w:val="FF0000"/>
          <w:sz w:val="20"/>
        </w:rPr>
      </w:pPr>
      <w:r>
        <w:rPr>
          <w:rFonts w:ascii="黑体" w:hAnsi="仿宋_GB2312" w:eastAsia="仿宋_GB2312" w:cs="仿宋_GB2312"/>
          <w:color w:val="FF0000"/>
          <w:sz w:val="20"/>
          <w:szCs w:val="32"/>
          <w:lang w:val="zh-CN" w:eastAsia="zh-CN" w:bidi="zh-CN"/>
        </w:rPr>
        <mc:AlternateContent>
          <mc:Choice Requires="wps">
            <w:drawing>
              <wp:inline distT="0" distB="0" distL="114300" distR="114300">
                <wp:extent cx="5586095" cy="3991610"/>
                <wp:effectExtent l="4445" t="4445" r="10160" b="23495"/>
                <wp:docPr id="12" name="Quad Arrow 8"/>
                <wp:cNvGraphicFramePr/>
                <a:graphic xmlns:a="http://schemas.openxmlformats.org/drawingml/2006/main">
                  <a:graphicData uri="http://schemas.microsoft.com/office/word/2010/wordprocessingShape">
                    <wps:wsp>
                      <wps:cNvSpPr>
                        <a:spLocks noRot="1"/>
                      </wps:cNvSpPr>
                      <wps:spPr>
                        <a:xfrm>
                          <a:off x="0" y="0"/>
                          <a:ext cx="5586095" cy="3991610"/>
                        </a:xfrm>
                        <a:prstGeom prst="rect">
                          <a:avLst/>
                        </a:prstGeom>
                        <a:noFill/>
                        <a:ln w="6095" cap="flat" cmpd="sng">
                          <a:solidFill>
                            <a:srgbClr val="000000"/>
                          </a:solidFill>
                          <a:prstDash val="solid"/>
                          <a:miter/>
                          <a:headEnd type="none" w="med" len="med"/>
                          <a:tailEnd type="none" w="med" len="med"/>
                        </a:ln>
                      </wps:spPr>
                      <wps:txbx>
                        <w:txbxContent>
                          <w:p>
                            <w:pPr>
                              <w:spacing w:before="0" w:line="260" w:lineRule="exact"/>
                              <w:ind w:left="103" w:right="0" w:firstLine="0"/>
                              <w:jc w:val="left"/>
                              <w:rPr>
                                <w:rFonts w:hint="eastAsia" w:ascii="Microsoft JhengHei" w:eastAsia="Microsoft JhengHei"/>
                                <w:b/>
                                <w:sz w:val="21"/>
                              </w:rPr>
                            </w:pPr>
                          </w:p>
                          <w:p>
                            <w:pPr>
                              <w:keepNext w:val="0"/>
                              <w:keepLines w:val="0"/>
                              <w:pageBreakBefore w:val="0"/>
                              <w:widowControl w:val="0"/>
                              <w:kinsoku/>
                              <w:wordWrap/>
                              <w:overflowPunct/>
                              <w:topLinePunct w:val="0"/>
                              <w:autoSpaceDE/>
                              <w:autoSpaceDN/>
                              <w:bidi w:val="0"/>
                              <w:adjustRightInd/>
                              <w:snapToGrid/>
                              <w:spacing w:before="0" w:line="360" w:lineRule="auto"/>
                              <w:ind w:left="944" w:leftChars="48" w:right="0" w:hanging="843" w:hangingChars="350"/>
                              <w:jc w:val="left"/>
                              <w:textAlignment w:val="auto"/>
                              <w:rPr>
                                <w:rFonts w:hint="eastAsia" w:ascii="仿宋_GB2312" w:hAnsi="仿宋_GB2312" w:eastAsia="仿宋_GB2312" w:cs="仿宋_GB2312"/>
                                <w:b w:val="0"/>
                                <w:bCs w:val="0"/>
                                <w:color w:val="000000"/>
                                <w:sz w:val="24"/>
                                <w:szCs w:val="24"/>
                              </w:rPr>
                            </w:pPr>
                            <w:r>
                              <w:rPr>
                                <w:rFonts w:hint="eastAsia" w:ascii="仿宋_GB2312" w:hAnsi="仿宋_GB2312" w:eastAsia="仿宋_GB2312" w:cs="仿宋_GB2312"/>
                                <w:b/>
                                <w:sz w:val="24"/>
                                <w:szCs w:val="24"/>
                              </w:rPr>
                              <w:t>主要产品：</w:t>
                            </w:r>
                            <w:r>
                              <w:rPr>
                                <w:rFonts w:hint="eastAsia" w:ascii="仿宋_GB2312" w:hAnsi="仿宋_GB2312" w:eastAsia="仿宋_GB2312" w:cs="仿宋_GB2312"/>
                                <w:b w:val="0"/>
                                <w:bCs w:val="0"/>
                                <w:sz w:val="24"/>
                                <w:szCs w:val="24"/>
                              </w:rPr>
                              <w:t>碳</w:t>
                            </w:r>
                            <w:r>
                              <w:rPr>
                                <w:rFonts w:hint="eastAsia" w:ascii="仿宋_GB2312" w:hAnsi="仿宋_GB2312" w:eastAsia="仿宋_GB2312" w:cs="仿宋_GB2312"/>
                                <w:b w:val="0"/>
                                <w:bCs w:val="0"/>
                                <w:color w:val="000000"/>
                                <w:sz w:val="24"/>
                                <w:szCs w:val="24"/>
                              </w:rPr>
                              <w:t>化硅微粉、氮化物结合碳化硅耐火材料、碳化硅功能陶瓷、大尺寸高纯高导电石墨电极、新型高炉炭砖、石墨阴极、脱硫/脱硝/脱汞活性炭、特种净水/净气活性炭、高功率炭电极、锂电池负极等。</w:t>
                            </w:r>
                          </w:p>
                          <w:p>
                            <w:pPr>
                              <w:keepNext w:val="0"/>
                              <w:keepLines w:val="0"/>
                              <w:pageBreakBefore w:val="0"/>
                              <w:widowControl w:val="0"/>
                              <w:kinsoku/>
                              <w:wordWrap/>
                              <w:overflowPunct/>
                              <w:topLinePunct w:val="0"/>
                              <w:autoSpaceDE/>
                              <w:autoSpaceDN/>
                              <w:bidi w:val="0"/>
                              <w:adjustRightInd/>
                              <w:snapToGrid/>
                              <w:spacing w:before="0" w:line="360" w:lineRule="auto"/>
                              <w:ind w:left="944" w:leftChars="48" w:right="0" w:hanging="843" w:hangingChars="350"/>
                              <w:jc w:val="both"/>
                              <w:textAlignment w:val="auto"/>
                              <w:rPr>
                                <w:rFonts w:hint="eastAsia" w:ascii="仿宋_GB2312" w:hAnsi="仿宋_GB2312" w:eastAsia="仿宋_GB2312" w:cs="仿宋_GB2312"/>
                                <w:w w:val="95"/>
                                <w:sz w:val="24"/>
                                <w:szCs w:val="24"/>
                              </w:rPr>
                            </w:pPr>
                            <w:r>
                              <w:rPr>
                                <w:rFonts w:hint="eastAsia" w:ascii="仿宋_GB2312" w:hAnsi="仿宋_GB2312" w:eastAsia="仿宋_GB2312" w:cs="仿宋_GB2312"/>
                                <w:b/>
                                <w:sz w:val="24"/>
                                <w:szCs w:val="24"/>
                              </w:rPr>
                              <w:t>产业链：</w:t>
                            </w:r>
                            <w:r>
                              <w:rPr>
                                <w:rFonts w:hint="eastAsia" w:ascii="仿宋_GB2312" w:hAnsi="仿宋_GB2312" w:eastAsia="仿宋_GB2312" w:cs="仿宋_GB2312"/>
                                <w:sz w:val="24"/>
                                <w:szCs w:val="24"/>
                              </w:rPr>
                              <w:t>无烟煤—碳化硅—碳</w:t>
                            </w:r>
                            <w:r>
                              <w:rPr>
                                <w:rFonts w:hint="eastAsia" w:ascii="仿宋_GB2312" w:hAnsi="仿宋_GB2312" w:eastAsia="仿宋_GB2312" w:cs="仿宋_GB2312"/>
                                <w:b w:val="0"/>
                                <w:bCs w:val="0"/>
                                <w:color w:val="000000"/>
                                <w:sz w:val="24"/>
                                <w:szCs w:val="24"/>
                              </w:rPr>
                              <w:t>化硅微粉/耐火材料/高端陶瓷/碳化硅复合材料等，无烟煤—活性炭—生活用净水/净气高端活性炭/工业用碳材催化剂等，无烟煤—炭素—高功率炭电极/负极材料等。</w:t>
                            </w:r>
                            <w:r>
                              <w:rPr>
                                <w:rFonts w:hint="eastAsia" w:ascii="仿宋_GB2312" w:hAnsi="仿宋_GB2312" w:eastAsia="仿宋_GB2312" w:cs="仿宋_GB2312"/>
                                <w:w w:val="95"/>
                                <w:sz w:val="24"/>
                                <w:szCs w:val="24"/>
                              </w:rPr>
                              <w:t xml:space="preserve">   </w:t>
                            </w:r>
                          </w:p>
                          <w:p>
                            <w:pPr>
                              <w:keepNext w:val="0"/>
                              <w:keepLines w:val="0"/>
                              <w:pageBreakBefore w:val="0"/>
                              <w:widowControl w:val="0"/>
                              <w:kinsoku/>
                              <w:wordWrap/>
                              <w:overflowPunct/>
                              <w:topLinePunct w:val="0"/>
                              <w:autoSpaceDE/>
                              <w:autoSpaceDN/>
                              <w:bidi w:val="0"/>
                              <w:adjustRightInd/>
                              <w:snapToGrid/>
                              <w:spacing w:before="18" w:line="360" w:lineRule="auto"/>
                              <w:ind w:left="944" w:leftChars="48" w:right="0" w:hanging="843" w:hangingChars="35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对接方向：</w:t>
                            </w:r>
                            <w:r>
                              <w:rPr>
                                <w:rFonts w:hint="eastAsia" w:ascii="仿宋_GB2312" w:hAnsi="仿宋_GB2312" w:eastAsia="仿宋_GB2312" w:cs="仿宋_GB2312"/>
                                <w:spacing w:val="-3"/>
                                <w:sz w:val="24"/>
                                <w:szCs w:val="24"/>
                              </w:rPr>
                              <w:t>中科院硅酸盐研究所、北京化工研究院、中钢洛耐研究院等科研院所，航空航天、医疗器械、生态环保等领域企业。</w:t>
                            </w:r>
                          </w:p>
                          <w:p>
                            <w:pPr>
                              <w:keepNext w:val="0"/>
                              <w:keepLines w:val="0"/>
                              <w:pageBreakBefore w:val="0"/>
                              <w:widowControl w:val="0"/>
                              <w:kinsoku/>
                              <w:wordWrap/>
                              <w:overflowPunct/>
                              <w:topLinePunct w:val="0"/>
                              <w:autoSpaceDE/>
                              <w:autoSpaceDN/>
                              <w:bidi w:val="0"/>
                              <w:adjustRightInd/>
                              <w:snapToGrid/>
                              <w:spacing w:before="0" w:line="360" w:lineRule="auto"/>
                              <w:ind w:left="916" w:leftChars="48" w:right="17" w:hanging="815" w:hangingChars="356"/>
                              <w:jc w:val="left"/>
                              <w:textAlignment w:val="auto"/>
                              <w:rPr>
                                <w:rFonts w:hint="eastAsia" w:ascii="仿宋_GB2312" w:hAnsi="仿宋_GB2312" w:eastAsia="仿宋_GB2312" w:cs="仿宋_GB2312"/>
                                <w:spacing w:val="-3"/>
                                <w:sz w:val="24"/>
                                <w:szCs w:val="24"/>
                              </w:rPr>
                            </w:pPr>
                            <w:r>
                              <w:rPr>
                                <w:rFonts w:hint="eastAsia" w:ascii="仿宋_GB2312" w:hAnsi="仿宋_GB2312" w:eastAsia="仿宋_GB2312" w:cs="仿宋_GB2312"/>
                                <w:b/>
                                <w:w w:val="95"/>
                                <w:sz w:val="24"/>
                                <w:szCs w:val="24"/>
                              </w:rPr>
                              <w:t>重点企业：</w:t>
                            </w:r>
                            <w:r>
                              <w:rPr>
                                <w:rFonts w:hint="eastAsia" w:ascii="仿宋_GB2312" w:hAnsi="仿宋_GB2312" w:eastAsia="仿宋_GB2312" w:cs="仿宋_GB2312"/>
                                <w:spacing w:val="-3"/>
                                <w:sz w:val="24"/>
                                <w:szCs w:val="24"/>
                              </w:rPr>
                              <w:t>中钢宁夏耐研滨河新材料有限公司、宁夏宁平炭素有限责任公司、平罗县国宁活性炭有限公司等。</w:t>
                            </w:r>
                          </w:p>
                          <w:p>
                            <w:pPr>
                              <w:keepNext w:val="0"/>
                              <w:keepLines w:val="0"/>
                              <w:pageBreakBefore w:val="0"/>
                              <w:widowControl w:val="0"/>
                              <w:kinsoku/>
                              <w:wordWrap/>
                              <w:overflowPunct/>
                              <w:topLinePunct w:val="0"/>
                              <w:autoSpaceDE/>
                              <w:autoSpaceDN/>
                              <w:bidi w:val="0"/>
                              <w:adjustRightInd/>
                              <w:snapToGrid/>
                              <w:spacing w:before="0" w:line="360" w:lineRule="auto"/>
                              <w:ind w:left="993" w:leftChars="48" w:right="98" w:hanging="892" w:hangingChars="400"/>
                              <w:jc w:val="both"/>
                              <w:textAlignment w:val="auto"/>
                              <w:rPr>
                                <w:rFonts w:hint="eastAsia" w:ascii="仿宋_GB2312" w:hAnsi="仿宋_GB2312" w:eastAsia="仿宋_GB2312" w:cs="仿宋_GB2312"/>
                                <w:color w:val="080808"/>
                                <w:sz w:val="24"/>
                                <w:szCs w:val="24"/>
                              </w:rPr>
                            </w:pPr>
                            <w:r>
                              <w:rPr>
                                <w:rFonts w:hint="eastAsia" w:ascii="仿宋_GB2312" w:hAnsi="仿宋_GB2312" w:eastAsia="仿宋_GB2312" w:cs="仿宋_GB2312"/>
                                <w:b/>
                                <w:spacing w:val="-3"/>
                                <w:w w:val="95"/>
                                <w:sz w:val="24"/>
                                <w:szCs w:val="24"/>
                              </w:rPr>
                              <w:t>重点项目：</w:t>
                            </w:r>
                            <w:r>
                              <w:rPr>
                                <w:rFonts w:hint="eastAsia" w:ascii="仿宋_GB2312" w:hAnsi="仿宋_GB2312" w:eastAsia="仿宋_GB2312" w:cs="仿宋_GB2312"/>
                                <w:color w:val="080808"/>
                                <w:w w:val="95"/>
                                <w:sz w:val="24"/>
                                <w:szCs w:val="24"/>
                              </w:rPr>
                              <w:t>中钢耐研滨河氮化硅结合碳化硅耐火材料、</w:t>
                            </w:r>
                            <w:r>
                              <w:rPr>
                                <w:rFonts w:hint="eastAsia" w:ascii="仿宋_GB2312" w:hAnsi="仿宋_GB2312" w:eastAsia="仿宋_GB2312" w:cs="仿宋_GB2312"/>
                                <w:color w:val="080808"/>
                                <w:spacing w:val="-5"/>
                                <w:w w:val="95"/>
                                <w:sz w:val="24"/>
                                <w:szCs w:val="24"/>
                              </w:rPr>
                              <w:t>平罗县国宁活性炭煤基碳材催化剂</w:t>
                            </w:r>
                            <w:r>
                              <w:rPr>
                                <w:rFonts w:hint="eastAsia" w:ascii="仿宋_GB2312" w:hAnsi="仿宋_GB2312" w:eastAsia="仿宋_GB2312" w:cs="仿宋_GB2312"/>
                                <w:color w:val="080808"/>
                                <w:spacing w:val="-5"/>
                                <w:w w:val="95"/>
                                <w:sz w:val="24"/>
                                <w:szCs w:val="24"/>
                                <w:lang w:eastAsia="zh-CN"/>
                              </w:rPr>
                              <w:t>、</w:t>
                            </w:r>
                            <w:r>
                              <w:rPr>
                                <w:rFonts w:hint="eastAsia" w:ascii="仿宋_GB2312" w:hAnsi="仿宋_GB2312" w:eastAsia="仿宋_GB2312" w:cs="仿宋_GB2312"/>
                                <w:spacing w:val="-3"/>
                                <w:sz w:val="24"/>
                                <w:szCs w:val="24"/>
                              </w:rPr>
                              <w:t>宁夏宁平炭素有限责任公司</w:t>
                            </w:r>
                            <w:r>
                              <w:rPr>
                                <w:rFonts w:hint="eastAsia" w:ascii="仿宋_GB2312" w:hAnsi="仿宋_GB2312" w:eastAsia="仿宋_GB2312" w:cs="仿宋_GB2312"/>
                                <w:spacing w:val="-3"/>
                                <w:sz w:val="24"/>
                                <w:szCs w:val="24"/>
                                <w:lang w:val="en-US" w:eastAsia="zh-CN"/>
                              </w:rPr>
                              <w:t>3万吨石墨化制品技术升级改造等项目</w:t>
                            </w:r>
                            <w:r>
                              <w:rPr>
                                <w:rFonts w:hint="eastAsia" w:ascii="仿宋_GB2312" w:hAnsi="仿宋_GB2312" w:eastAsia="仿宋_GB2312" w:cs="仿宋_GB2312"/>
                                <w:color w:val="080808"/>
                                <w:spacing w:val="-5"/>
                                <w:sz w:val="24"/>
                                <w:szCs w:val="24"/>
                              </w:rPr>
                              <w:t>。</w:t>
                            </w:r>
                          </w:p>
                        </w:txbxContent>
                      </wps:txbx>
                      <wps:bodyPr lIns="0" tIns="0" rIns="0" bIns="0" upright="1"/>
                    </wps:wsp>
                  </a:graphicData>
                </a:graphic>
              </wp:inline>
            </w:drawing>
          </mc:Choice>
          <mc:Fallback>
            <w:pict>
              <v:rect id="Quad Arrow 8" o:spid="_x0000_s1026" o:spt="1" style="height:314.3pt;width:439.85pt;" filled="f" stroked="t" coordsize="21600,21600" o:gfxdata="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POvfYdYAAAAFAQAADwAAAAAAAAABACAAAAAiAAAAZHJzL2Rvd25yZXYueG1sUEsBAhQA&#10;FAAAAAgAh07iQAv7wIX0AQAA/wMAAA4AAAAAAAAAAQAgAAAAJQEAAGRycy9lMm9Eb2MueG1sUEsF&#10;BgAAAAAGAAYAWQEAAIsFAAAAAA==&#10;">
                <v:fill on="f" focussize="0,0"/>
                <v:stroke weight="0.47992125984252pt" color="#000000" joinstyle="miter"/>
                <v:imagedata o:title=""/>
                <o:lock v:ext="edit" rotation="t" aspectratio="f"/>
                <v:textbox inset="0mm,0mm,0mm,0mm">
                  <w:txbxContent>
                    <w:p>
                      <w:pPr>
                        <w:spacing w:before="0" w:line="260" w:lineRule="exact"/>
                        <w:ind w:left="103" w:right="0" w:firstLine="0"/>
                        <w:jc w:val="left"/>
                        <w:rPr>
                          <w:rFonts w:hint="eastAsia" w:ascii="Microsoft JhengHei" w:eastAsia="Microsoft JhengHei"/>
                          <w:b/>
                          <w:sz w:val="21"/>
                        </w:rPr>
                      </w:pPr>
                    </w:p>
                    <w:p>
                      <w:pPr>
                        <w:keepNext w:val="0"/>
                        <w:keepLines w:val="0"/>
                        <w:pageBreakBefore w:val="0"/>
                        <w:widowControl w:val="0"/>
                        <w:kinsoku/>
                        <w:wordWrap/>
                        <w:overflowPunct/>
                        <w:topLinePunct w:val="0"/>
                        <w:autoSpaceDE/>
                        <w:autoSpaceDN/>
                        <w:bidi w:val="0"/>
                        <w:adjustRightInd/>
                        <w:snapToGrid/>
                        <w:spacing w:before="0" w:line="360" w:lineRule="auto"/>
                        <w:ind w:left="944" w:leftChars="48" w:right="0" w:hanging="843" w:hangingChars="350"/>
                        <w:jc w:val="left"/>
                        <w:textAlignment w:val="auto"/>
                        <w:rPr>
                          <w:rFonts w:hint="eastAsia" w:ascii="仿宋_GB2312" w:hAnsi="仿宋_GB2312" w:eastAsia="仿宋_GB2312" w:cs="仿宋_GB2312"/>
                          <w:b w:val="0"/>
                          <w:bCs w:val="0"/>
                          <w:color w:val="000000"/>
                          <w:sz w:val="24"/>
                          <w:szCs w:val="24"/>
                        </w:rPr>
                      </w:pPr>
                      <w:r>
                        <w:rPr>
                          <w:rFonts w:hint="eastAsia" w:ascii="仿宋_GB2312" w:hAnsi="仿宋_GB2312" w:eastAsia="仿宋_GB2312" w:cs="仿宋_GB2312"/>
                          <w:b/>
                          <w:sz w:val="24"/>
                          <w:szCs w:val="24"/>
                        </w:rPr>
                        <w:t>主要产品：</w:t>
                      </w:r>
                      <w:r>
                        <w:rPr>
                          <w:rFonts w:hint="eastAsia" w:ascii="仿宋_GB2312" w:hAnsi="仿宋_GB2312" w:eastAsia="仿宋_GB2312" w:cs="仿宋_GB2312"/>
                          <w:b w:val="0"/>
                          <w:bCs w:val="0"/>
                          <w:sz w:val="24"/>
                          <w:szCs w:val="24"/>
                        </w:rPr>
                        <w:t>碳</w:t>
                      </w:r>
                      <w:r>
                        <w:rPr>
                          <w:rFonts w:hint="eastAsia" w:ascii="仿宋_GB2312" w:hAnsi="仿宋_GB2312" w:eastAsia="仿宋_GB2312" w:cs="仿宋_GB2312"/>
                          <w:b w:val="0"/>
                          <w:bCs w:val="0"/>
                          <w:color w:val="000000"/>
                          <w:sz w:val="24"/>
                          <w:szCs w:val="24"/>
                        </w:rPr>
                        <w:t>化硅微粉、氮化物结合碳化硅耐火材料、碳化硅功能陶瓷、大尺寸高纯高导电石墨电极、新型高炉炭砖、石墨阴极、脱硫/脱硝/脱汞活性炭、特种净水/净气活性炭、高功率炭电极、锂电池负极等。</w:t>
                      </w:r>
                    </w:p>
                    <w:p>
                      <w:pPr>
                        <w:keepNext w:val="0"/>
                        <w:keepLines w:val="0"/>
                        <w:pageBreakBefore w:val="0"/>
                        <w:widowControl w:val="0"/>
                        <w:kinsoku/>
                        <w:wordWrap/>
                        <w:overflowPunct/>
                        <w:topLinePunct w:val="0"/>
                        <w:autoSpaceDE/>
                        <w:autoSpaceDN/>
                        <w:bidi w:val="0"/>
                        <w:adjustRightInd/>
                        <w:snapToGrid/>
                        <w:spacing w:before="0" w:line="360" w:lineRule="auto"/>
                        <w:ind w:left="944" w:leftChars="48" w:right="0" w:hanging="843" w:hangingChars="350"/>
                        <w:jc w:val="both"/>
                        <w:textAlignment w:val="auto"/>
                        <w:rPr>
                          <w:rFonts w:hint="eastAsia" w:ascii="仿宋_GB2312" w:hAnsi="仿宋_GB2312" w:eastAsia="仿宋_GB2312" w:cs="仿宋_GB2312"/>
                          <w:w w:val="95"/>
                          <w:sz w:val="24"/>
                          <w:szCs w:val="24"/>
                        </w:rPr>
                      </w:pPr>
                      <w:r>
                        <w:rPr>
                          <w:rFonts w:hint="eastAsia" w:ascii="仿宋_GB2312" w:hAnsi="仿宋_GB2312" w:eastAsia="仿宋_GB2312" w:cs="仿宋_GB2312"/>
                          <w:b/>
                          <w:sz w:val="24"/>
                          <w:szCs w:val="24"/>
                        </w:rPr>
                        <w:t>产业链：</w:t>
                      </w:r>
                      <w:r>
                        <w:rPr>
                          <w:rFonts w:hint="eastAsia" w:ascii="仿宋_GB2312" w:hAnsi="仿宋_GB2312" w:eastAsia="仿宋_GB2312" w:cs="仿宋_GB2312"/>
                          <w:sz w:val="24"/>
                          <w:szCs w:val="24"/>
                        </w:rPr>
                        <w:t>无烟煤—碳化硅—碳</w:t>
                      </w:r>
                      <w:r>
                        <w:rPr>
                          <w:rFonts w:hint="eastAsia" w:ascii="仿宋_GB2312" w:hAnsi="仿宋_GB2312" w:eastAsia="仿宋_GB2312" w:cs="仿宋_GB2312"/>
                          <w:b w:val="0"/>
                          <w:bCs w:val="0"/>
                          <w:color w:val="000000"/>
                          <w:sz w:val="24"/>
                          <w:szCs w:val="24"/>
                        </w:rPr>
                        <w:t>化硅微粉/耐火材料/高端陶瓷/碳化硅复合材料等，无烟煤—活性炭—生活用净水/净气高端活性炭/工业用碳材催化剂等，无烟煤—炭素—高功率炭电极/负极材料等。</w:t>
                      </w:r>
                      <w:r>
                        <w:rPr>
                          <w:rFonts w:hint="eastAsia" w:ascii="仿宋_GB2312" w:hAnsi="仿宋_GB2312" w:eastAsia="仿宋_GB2312" w:cs="仿宋_GB2312"/>
                          <w:w w:val="95"/>
                          <w:sz w:val="24"/>
                          <w:szCs w:val="24"/>
                        </w:rPr>
                        <w:t xml:space="preserve">   </w:t>
                      </w:r>
                    </w:p>
                    <w:p>
                      <w:pPr>
                        <w:keepNext w:val="0"/>
                        <w:keepLines w:val="0"/>
                        <w:pageBreakBefore w:val="0"/>
                        <w:widowControl w:val="0"/>
                        <w:kinsoku/>
                        <w:wordWrap/>
                        <w:overflowPunct/>
                        <w:topLinePunct w:val="0"/>
                        <w:autoSpaceDE/>
                        <w:autoSpaceDN/>
                        <w:bidi w:val="0"/>
                        <w:adjustRightInd/>
                        <w:snapToGrid/>
                        <w:spacing w:before="18" w:line="360" w:lineRule="auto"/>
                        <w:ind w:left="944" w:leftChars="48" w:right="0" w:hanging="843" w:hangingChars="35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对接方向：</w:t>
                      </w:r>
                      <w:r>
                        <w:rPr>
                          <w:rFonts w:hint="eastAsia" w:ascii="仿宋_GB2312" w:hAnsi="仿宋_GB2312" w:eastAsia="仿宋_GB2312" w:cs="仿宋_GB2312"/>
                          <w:spacing w:val="-3"/>
                          <w:sz w:val="24"/>
                          <w:szCs w:val="24"/>
                        </w:rPr>
                        <w:t>中科院硅酸盐研究所、北京化工研究院、中钢洛耐研究院等科研院所，航空航天、医疗器械、生态环保等领域企业。</w:t>
                      </w:r>
                    </w:p>
                    <w:p>
                      <w:pPr>
                        <w:keepNext w:val="0"/>
                        <w:keepLines w:val="0"/>
                        <w:pageBreakBefore w:val="0"/>
                        <w:widowControl w:val="0"/>
                        <w:kinsoku/>
                        <w:wordWrap/>
                        <w:overflowPunct/>
                        <w:topLinePunct w:val="0"/>
                        <w:autoSpaceDE/>
                        <w:autoSpaceDN/>
                        <w:bidi w:val="0"/>
                        <w:adjustRightInd/>
                        <w:snapToGrid/>
                        <w:spacing w:before="0" w:line="360" w:lineRule="auto"/>
                        <w:ind w:left="916" w:leftChars="48" w:right="17" w:hanging="815" w:hangingChars="356"/>
                        <w:jc w:val="left"/>
                        <w:textAlignment w:val="auto"/>
                        <w:rPr>
                          <w:rFonts w:hint="eastAsia" w:ascii="仿宋_GB2312" w:hAnsi="仿宋_GB2312" w:eastAsia="仿宋_GB2312" w:cs="仿宋_GB2312"/>
                          <w:spacing w:val="-3"/>
                          <w:sz w:val="24"/>
                          <w:szCs w:val="24"/>
                        </w:rPr>
                      </w:pPr>
                      <w:r>
                        <w:rPr>
                          <w:rFonts w:hint="eastAsia" w:ascii="仿宋_GB2312" w:hAnsi="仿宋_GB2312" w:eastAsia="仿宋_GB2312" w:cs="仿宋_GB2312"/>
                          <w:b/>
                          <w:w w:val="95"/>
                          <w:sz w:val="24"/>
                          <w:szCs w:val="24"/>
                        </w:rPr>
                        <w:t>重点企业：</w:t>
                      </w:r>
                      <w:r>
                        <w:rPr>
                          <w:rFonts w:hint="eastAsia" w:ascii="仿宋_GB2312" w:hAnsi="仿宋_GB2312" w:eastAsia="仿宋_GB2312" w:cs="仿宋_GB2312"/>
                          <w:spacing w:val="-3"/>
                          <w:sz w:val="24"/>
                          <w:szCs w:val="24"/>
                        </w:rPr>
                        <w:t>中钢宁夏耐研滨河新材料有限公司、宁夏宁平炭素有限责任公司、平罗县国宁活性炭有限公司等。</w:t>
                      </w:r>
                    </w:p>
                    <w:p>
                      <w:pPr>
                        <w:keepNext w:val="0"/>
                        <w:keepLines w:val="0"/>
                        <w:pageBreakBefore w:val="0"/>
                        <w:widowControl w:val="0"/>
                        <w:kinsoku/>
                        <w:wordWrap/>
                        <w:overflowPunct/>
                        <w:topLinePunct w:val="0"/>
                        <w:autoSpaceDE/>
                        <w:autoSpaceDN/>
                        <w:bidi w:val="0"/>
                        <w:adjustRightInd/>
                        <w:snapToGrid/>
                        <w:spacing w:before="0" w:line="360" w:lineRule="auto"/>
                        <w:ind w:left="993" w:leftChars="48" w:right="98" w:hanging="892" w:hangingChars="400"/>
                        <w:jc w:val="both"/>
                        <w:textAlignment w:val="auto"/>
                        <w:rPr>
                          <w:rFonts w:hint="eastAsia" w:ascii="仿宋_GB2312" w:hAnsi="仿宋_GB2312" w:eastAsia="仿宋_GB2312" w:cs="仿宋_GB2312"/>
                          <w:color w:val="080808"/>
                          <w:sz w:val="24"/>
                          <w:szCs w:val="24"/>
                        </w:rPr>
                      </w:pPr>
                      <w:r>
                        <w:rPr>
                          <w:rFonts w:hint="eastAsia" w:ascii="仿宋_GB2312" w:hAnsi="仿宋_GB2312" w:eastAsia="仿宋_GB2312" w:cs="仿宋_GB2312"/>
                          <w:b/>
                          <w:spacing w:val="-3"/>
                          <w:w w:val="95"/>
                          <w:sz w:val="24"/>
                          <w:szCs w:val="24"/>
                        </w:rPr>
                        <w:t>重点项目：</w:t>
                      </w:r>
                      <w:r>
                        <w:rPr>
                          <w:rFonts w:hint="eastAsia" w:ascii="仿宋_GB2312" w:hAnsi="仿宋_GB2312" w:eastAsia="仿宋_GB2312" w:cs="仿宋_GB2312"/>
                          <w:color w:val="080808"/>
                          <w:w w:val="95"/>
                          <w:sz w:val="24"/>
                          <w:szCs w:val="24"/>
                        </w:rPr>
                        <w:t>中钢耐研滨河氮化硅结合碳化硅耐火材料、</w:t>
                      </w:r>
                      <w:r>
                        <w:rPr>
                          <w:rFonts w:hint="eastAsia" w:ascii="仿宋_GB2312" w:hAnsi="仿宋_GB2312" w:eastAsia="仿宋_GB2312" w:cs="仿宋_GB2312"/>
                          <w:color w:val="080808"/>
                          <w:spacing w:val="-5"/>
                          <w:w w:val="95"/>
                          <w:sz w:val="24"/>
                          <w:szCs w:val="24"/>
                        </w:rPr>
                        <w:t>平罗县国宁活性炭煤基碳材催化剂</w:t>
                      </w:r>
                      <w:r>
                        <w:rPr>
                          <w:rFonts w:hint="eastAsia" w:ascii="仿宋_GB2312" w:hAnsi="仿宋_GB2312" w:eastAsia="仿宋_GB2312" w:cs="仿宋_GB2312"/>
                          <w:color w:val="080808"/>
                          <w:spacing w:val="-5"/>
                          <w:w w:val="95"/>
                          <w:sz w:val="24"/>
                          <w:szCs w:val="24"/>
                          <w:lang w:eastAsia="zh-CN"/>
                        </w:rPr>
                        <w:t>、</w:t>
                      </w:r>
                      <w:r>
                        <w:rPr>
                          <w:rFonts w:hint="eastAsia" w:ascii="仿宋_GB2312" w:hAnsi="仿宋_GB2312" w:eastAsia="仿宋_GB2312" w:cs="仿宋_GB2312"/>
                          <w:spacing w:val="-3"/>
                          <w:sz w:val="24"/>
                          <w:szCs w:val="24"/>
                        </w:rPr>
                        <w:t>宁夏宁平炭素有限责任公司</w:t>
                      </w:r>
                      <w:r>
                        <w:rPr>
                          <w:rFonts w:hint="eastAsia" w:ascii="仿宋_GB2312" w:hAnsi="仿宋_GB2312" w:eastAsia="仿宋_GB2312" w:cs="仿宋_GB2312"/>
                          <w:spacing w:val="-3"/>
                          <w:sz w:val="24"/>
                          <w:szCs w:val="24"/>
                          <w:lang w:val="en-US" w:eastAsia="zh-CN"/>
                        </w:rPr>
                        <w:t>3万吨石墨化制品技术升级改造等项目</w:t>
                      </w:r>
                      <w:r>
                        <w:rPr>
                          <w:rFonts w:hint="eastAsia" w:ascii="仿宋_GB2312" w:hAnsi="仿宋_GB2312" w:eastAsia="仿宋_GB2312" w:cs="仿宋_GB2312"/>
                          <w:color w:val="080808"/>
                          <w:spacing w:val="-5"/>
                          <w:sz w:val="24"/>
                          <w:szCs w:val="24"/>
                        </w:rPr>
                        <w:t>。</w:t>
                      </w:r>
                    </w:p>
                  </w:txbxContent>
                </v:textbox>
                <w10:wrap type="none"/>
                <w10:anchorlock/>
              </v:rect>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60" w:lineRule="atLeast"/>
        <w:ind w:firstLine="602" w:firstLineChars="200"/>
        <w:jc w:val="left"/>
        <w:textAlignment w:val="auto"/>
        <w:rPr>
          <w:rFonts w:hint="eastAsia" w:ascii="仿宋_GB2312" w:hAnsi="仿宋_GB2312" w:eastAsia="仿宋_GB2312" w:cs="仿宋_GB2312"/>
          <w:sz w:val="30"/>
          <w:szCs w:val="30"/>
          <w:lang w:val="en-US" w:eastAsia="zh-CN"/>
        </w:rPr>
      </w:pPr>
      <w:bookmarkStart w:id="124" w:name="_Toc6552"/>
      <w:r>
        <w:rPr>
          <w:rFonts w:hint="eastAsia" w:ascii="仿宋_GB2312" w:hAnsi="仿宋_GB2312" w:eastAsia="仿宋_GB2312" w:cs="仿宋_GB2312"/>
          <w:b/>
          <w:bCs/>
          <w:sz w:val="30"/>
          <w:szCs w:val="30"/>
          <w:lang w:val="en-US" w:eastAsia="zh-CN"/>
        </w:rPr>
        <w:t>4.电池材料产业。</w:t>
      </w:r>
      <w:r>
        <w:rPr>
          <w:rFonts w:hint="eastAsia" w:ascii="仿宋_GB2312" w:hAnsi="仿宋_GB2312" w:eastAsia="仿宋_GB2312" w:cs="仿宋_GB2312"/>
          <w:sz w:val="30"/>
          <w:szCs w:val="30"/>
          <w:lang w:val="en-US" w:eastAsia="zh-CN"/>
        </w:rPr>
        <w:t>依托滨河新材料正极材料、众城负极材料等项目，重点发展磷酸铁锂等高能量密度锂离子电池正极材料及新型硅碳负极材料，积极引入高储能电池用隔膜材料、高导电解液及电池制造等配套产业，构建形成锂电池全产业链。到 2025 年，电池材料初成一定的规模。</w:t>
      </w:r>
      <w:bookmarkEnd w:id="124"/>
    </w:p>
    <w:p>
      <w:pPr>
        <w:keepNext w:val="0"/>
        <w:keepLines w:val="0"/>
        <w:pageBreakBefore w:val="0"/>
        <w:widowControl w:val="0"/>
        <w:numPr>
          <w:ilvl w:val="0"/>
          <w:numId w:val="0"/>
        </w:numPr>
        <w:kinsoku/>
        <w:wordWrap/>
        <w:overflowPunct/>
        <w:topLinePunct w:val="0"/>
        <w:autoSpaceDE/>
        <w:autoSpaceDN/>
        <w:bidi w:val="0"/>
        <w:adjustRightInd/>
        <w:snapToGrid/>
        <w:spacing w:line="560" w:lineRule="atLeast"/>
        <w:jc w:val="center"/>
        <w:textAlignment w:val="auto"/>
        <w:rPr>
          <w:rFonts w:hint="eastAsia" w:ascii="仿宋_GB2312" w:hAnsi="仿宋_GB2312" w:eastAsia="仿宋_GB2312" w:cs="仿宋_GB2312"/>
          <w:b/>
          <w:bCs/>
          <w:color w:val="000000" w:themeColor="text1"/>
          <w:sz w:val="30"/>
          <w:szCs w:val="30"/>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atLeast"/>
        <w:jc w:val="center"/>
        <w:textAlignment w:val="auto"/>
        <w:rPr>
          <w:rFonts w:hint="eastAsia" w:ascii="仿宋_GB2312" w:hAnsi="仿宋_GB2312" w:eastAsia="仿宋_GB2312" w:cs="仿宋_GB2312"/>
          <w:b/>
          <w:bCs/>
          <w:color w:val="000000" w:themeColor="text1"/>
          <w:sz w:val="30"/>
          <w:szCs w:val="30"/>
          <w14:textFill>
            <w14:solidFill>
              <w14:schemeClr w14:val="tx1"/>
            </w14:solidFill>
          </w14:textFill>
        </w:rPr>
      </w:pPr>
      <w:r>
        <w:rPr>
          <w:rFonts w:hint="eastAsia" w:ascii="仿宋_GB2312" w:hAnsi="仿宋_GB2312" w:eastAsia="仿宋_GB2312" w:cs="仿宋_GB2312"/>
          <w:b/>
          <w:bCs/>
          <w:color w:val="000000" w:themeColor="text1"/>
          <w:sz w:val="30"/>
          <w:szCs w:val="30"/>
          <w14:textFill>
            <w14:solidFill>
              <w14:schemeClr w14:val="tx1"/>
            </w14:solidFill>
          </w14:textFill>
        </w:rPr>
        <w:t>专栏</w:t>
      </w:r>
      <w:r>
        <w:rPr>
          <w:rFonts w:hint="eastAsia" w:cs="仿宋_GB2312"/>
          <w:b/>
          <w:bCs/>
          <w:color w:val="000000" w:themeColor="text1"/>
          <w:sz w:val="30"/>
          <w:szCs w:val="30"/>
          <w:lang w:val="en-US" w:eastAsia="zh-CN"/>
          <w14:textFill>
            <w14:solidFill>
              <w14:schemeClr w14:val="tx1"/>
            </w14:solidFill>
          </w14:textFill>
        </w:rPr>
        <w:t>1-</w:t>
      </w:r>
      <w:r>
        <w:rPr>
          <w:rFonts w:hint="eastAsia" w:ascii="仿宋_GB2312" w:hAnsi="仿宋_GB2312" w:eastAsia="仿宋_GB2312" w:cs="仿宋_GB2312"/>
          <w:b/>
          <w:bCs/>
          <w:color w:val="000000" w:themeColor="text1"/>
          <w:spacing w:val="-80"/>
          <w:sz w:val="30"/>
          <w:szCs w:val="30"/>
          <w14:textFill>
            <w14:solidFill>
              <w14:schemeClr w14:val="tx1"/>
            </w14:solidFill>
          </w14:textFill>
        </w:rPr>
        <w:t xml:space="preserve"> </w:t>
      </w:r>
      <w:r>
        <w:rPr>
          <w:rFonts w:hint="eastAsia" w:cs="仿宋_GB2312"/>
          <w:b/>
          <w:bCs/>
          <w:color w:val="000000" w:themeColor="text1"/>
          <w:sz w:val="30"/>
          <w:szCs w:val="30"/>
          <w:lang w:val="en-US" w:eastAsia="zh-CN"/>
          <w14:textFill>
            <w14:solidFill>
              <w14:schemeClr w14:val="tx1"/>
            </w14:solidFill>
          </w14:textFill>
        </w:rPr>
        <w:t xml:space="preserve">4 </w:t>
      </w:r>
      <w:r>
        <w:rPr>
          <w:rFonts w:hint="eastAsia" w:ascii="仿宋_GB2312" w:hAnsi="仿宋_GB2312" w:eastAsia="仿宋_GB2312" w:cs="仿宋_GB2312"/>
          <w:b/>
          <w:bCs/>
          <w:color w:val="000000" w:themeColor="text1"/>
          <w:sz w:val="30"/>
          <w:szCs w:val="30"/>
          <w14:textFill>
            <w14:solidFill>
              <w14:schemeClr w14:val="tx1"/>
            </w14:solidFill>
          </w14:textFill>
        </w:rPr>
        <w:t>电池材料</w:t>
      </w:r>
      <w:r>
        <w:rPr>
          <w:rFonts w:hint="eastAsia" w:ascii="仿宋_GB2312" w:hAnsi="仿宋_GB2312" w:eastAsia="仿宋_GB2312" w:cs="仿宋_GB2312"/>
          <w:b/>
          <w:bCs/>
          <w:color w:val="000000" w:themeColor="text1"/>
          <w:sz w:val="30"/>
          <w:szCs w:val="30"/>
          <w:lang w:eastAsia="zh-CN"/>
          <w14:textFill>
            <w14:solidFill>
              <w14:schemeClr w14:val="tx1"/>
            </w14:solidFill>
          </w14:textFill>
        </w:rPr>
        <w:t>产业</w:t>
      </w:r>
    </w:p>
    <w:p>
      <w:pPr>
        <w:pStyle w:val="8"/>
        <w:ind w:left="98"/>
        <w:rPr>
          <w:rFonts w:ascii="黑体"/>
          <w:color w:val="FF0000"/>
          <w:sz w:val="20"/>
        </w:rPr>
      </w:pPr>
      <w:r>
        <w:rPr>
          <w:rFonts w:ascii="黑体" w:hAnsi="仿宋_GB2312" w:eastAsia="仿宋_GB2312" w:cs="仿宋_GB2312"/>
          <w:color w:val="FF0000"/>
          <w:sz w:val="20"/>
          <w:szCs w:val="32"/>
          <w:lang w:val="zh-CN" w:eastAsia="zh-CN" w:bidi="zh-CN"/>
        </w:rPr>
        <mc:AlternateContent>
          <mc:Choice Requires="wps">
            <w:drawing>
              <wp:inline distT="0" distB="0" distL="114300" distR="114300">
                <wp:extent cx="5386705" cy="2487930"/>
                <wp:effectExtent l="4445" t="5080" r="19050" b="21590"/>
                <wp:docPr id="13" name="Quad Arrow 10"/>
                <wp:cNvGraphicFramePr/>
                <a:graphic xmlns:a="http://schemas.openxmlformats.org/drawingml/2006/main">
                  <a:graphicData uri="http://schemas.microsoft.com/office/word/2010/wordprocessingShape">
                    <wps:wsp>
                      <wps:cNvSpPr>
                        <a:spLocks noRot="1"/>
                      </wps:cNvSpPr>
                      <wps:spPr>
                        <a:xfrm>
                          <a:off x="0" y="0"/>
                          <a:ext cx="5386705" cy="2487930"/>
                        </a:xfrm>
                        <a:prstGeom prst="rect">
                          <a:avLst/>
                        </a:prstGeom>
                        <a:noFill/>
                        <a:ln w="6095" cap="flat" cmpd="sng">
                          <a:solidFill>
                            <a:srgbClr val="000000"/>
                          </a:solidFill>
                          <a:prstDash val="solid"/>
                          <a:miter/>
                          <a:headEnd type="none" w="med" len="med"/>
                          <a:tailEnd type="none" w="med" len="med"/>
                        </a:ln>
                      </wps:spPr>
                      <wps:txbx>
                        <w:txbxContent>
                          <w:p>
                            <w:pPr>
                              <w:spacing w:before="40" w:line="163" w:lineRule="auto"/>
                              <w:ind w:left="103" w:right="-15" w:firstLine="0"/>
                              <w:jc w:val="left"/>
                              <w:rPr>
                                <w:rFonts w:hint="eastAsia" w:ascii="仿宋_GB2312" w:hAnsi="仿宋_GB2312" w:eastAsia="仿宋_GB2312" w:cs="仿宋_GB2312"/>
                                <w:b/>
                                <w:sz w:val="24"/>
                                <w:szCs w:val="24"/>
                              </w:rPr>
                            </w:pPr>
                          </w:p>
                          <w:p>
                            <w:pPr>
                              <w:keepNext w:val="0"/>
                              <w:keepLines w:val="0"/>
                              <w:pageBreakBefore w:val="0"/>
                              <w:widowControl w:val="0"/>
                              <w:kinsoku/>
                              <w:wordWrap/>
                              <w:overflowPunct/>
                              <w:topLinePunct w:val="0"/>
                              <w:autoSpaceDE/>
                              <w:autoSpaceDN/>
                              <w:bidi w:val="0"/>
                              <w:adjustRightInd/>
                              <w:snapToGrid/>
                              <w:spacing w:before="0" w:line="360" w:lineRule="auto"/>
                              <w:ind w:left="959" w:leftChars="48" w:right="17" w:hanging="858" w:hangingChars="356"/>
                              <w:jc w:val="left"/>
                              <w:textAlignment w:val="auto"/>
                              <w:rPr>
                                <w:rFonts w:hint="eastAsia" w:ascii="仿宋_GB2312" w:hAnsi="仿宋_GB2312" w:eastAsia="仿宋_GB2312" w:cs="仿宋_GB2312"/>
                                <w:spacing w:val="-3"/>
                                <w:sz w:val="24"/>
                                <w:szCs w:val="24"/>
                              </w:rPr>
                            </w:pPr>
                            <w:r>
                              <w:rPr>
                                <w:rFonts w:hint="eastAsia" w:ascii="仿宋_GB2312" w:hAnsi="仿宋_GB2312" w:eastAsia="仿宋_GB2312" w:cs="仿宋_GB2312"/>
                                <w:b/>
                                <w:sz w:val="24"/>
                                <w:szCs w:val="24"/>
                              </w:rPr>
                              <w:t>主要产品：</w:t>
                            </w:r>
                            <w:r>
                              <w:rPr>
                                <w:rFonts w:hint="eastAsia" w:ascii="仿宋_GB2312" w:hAnsi="仿宋_GB2312" w:eastAsia="仿宋_GB2312" w:cs="仿宋_GB2312"/>
                                <w:spacing w:val="-3"/>
                                <w:sz w:val="24"/>
                                <w:szCs w:val="24"/>
                              </w:rPr>
                              <w:t>新型锂离子电池正极材料磷酸铁锂、</w:t>
                            </w:r>
                            <w:r>
                              <w:rPr>
                                <w:rFonts w:hint="eastAsia" w:ascii="仿宋_GB2312" w:hAnsi="仿宋_GB2312" w:eastAsia="仿宋_GB2312" w:cs="仿宋_GB2312"/>
                                <w:spacing w:val="-3"/>
                                <w:sz w:val="24"/>
                                <w:szCs w:val="24"/>
                                <w:lang w:val="en-US" w:eastAsia="zh-CN"/>
                              </w:rPr>
                              <w:t>新型硅碳负极材料</w:t>
                            </w:r>
                            <w:r>
                              <w:rPr>
                                <w:rFonts w:hint="eastAsia" w:ascii="仿宋_GB2312" w:hAnsi="仿宋_GB2312" w:eastAsia="仿宋_GB2312" w:cs="仿宋_GB2312"/>
                                <w:spacing w:val="-3"/>
                                <w:sz w:val="24"/>
                                <w:szCs w:val="24"/>
                                <w:lang w:eastAsia="zh-CN"/>
                              </w:rPr>
                              <w:t>。</w:t>
                            </w:r>
                          </w:p>
                          <w:p>
                            <w:pPr>
                              <w:keepNext w:val="0"/>
                              <w:keepLines w:val="0"/>
                              <w:pageBreakBefore w:val="0"/>
                              <w:widowControl w:val="0"/>
                              <w:kinsoku/>
                              <w:wordWrap/>
                              <w:overflowPunct/>
                              <w:topLinePunct w:val="0"/>
                              <w:autoSpaceDE/>
                              <w:autoSpaceDN/>
                              <w:bidi w:val="0"/>
                              <w:adjustRightInd/>
                              <w:snapToGrid/>
                              <w:spacing w:before="0" w:line="360" w:lineRule="auto"/>
                              <w:ind w:left="937" w:leftChars="48" w:right="17" w:hanging="836" w:hangingChars="356"/>
                              <w:jc w:val="left"/>
                              <w:textAlignment w:val="auto"/>
                              <w:rPr>
                                <w:rFonts w:hint="eastAsia" w:ascii="仿宋_GB2312" w:hAnsi="仿宋_GB2312" w:eastAsia="仿宋_GB2312" w:cs="仿宋_GB2312"/>
                                <w:spacing w:val="-3"/>
                                <w:sz w:val="24"/>
                                <w:szCs w:val="24"/>
                                <w:lang w:val="en-US" w:eastAsia="zh-CN"/>
                              </w:rPr>
                            </w:pPr>
                            <w:r>
                              <w:rPr>
                                <w:rFonts w:hint="eastAsia" w:ascii="仿宋_GB2312" w:hAnsi="仿宋_GB2312" w:eastAsia="仿宋_GB2312" w:cs="仿宋_GB2312"/>
                                <w:b/>
                                <w:bCs/>
                                <w:spacing w:val="-3"/>
                                <w:sz w:val="24"/>
                                <w:szCs w:val="24"/>
                              </w:rPr>
                              <w:t>产业链：</w:t>
                            </w:r>
                            <w:r>
                              <w:rPr>
                                <w:rFonts w:hint="eastAsia" w:ascii="仿宋_GB2312" w:hAnsi="仿宋_GB2312" w:eastAsia="仿宋_GB2312" w:cs="仿宋_GB2312"/>
                                <w:spacing w:val="-3"/>
                                <w:sz w:val="24"/>
                                <w:szCs w:val="24"/>
                                <w:lang w:eastAsia="zh-CN"/>
                              </w:rPr>
                              <w:t>正极材料</w:t>
                            </w:r>
                            <w:r>
                              <w:rPr>
                                <w:rFonts w:hint="eastAsia" w:ascii="仿宋_GB2312" w:hAnsi="仿宋_GB2312" w:eastAsia="仿宋_GB2312" w:cs="仿宋_GB2312"/>
                                <w:spacing w:val="-3"/>
                                <w:sz w:val="24"/>
                                <w:szCs w:val="24"/>
                                <w:lang w:val="en-US" w:eastAsia="zh-CN"/>
                              </w:rPr>
                              <w:t>/负极材料+电解液/隔膜—锂电池组件及成品—应用领域。</w:t>
                            </w:r>
                          </w:p>
                          <w:p>
                            <w:pPr>
                              <w:keepNext w:val="0"/>
                              <w:keepLines w:val="0"/>
                              <w:pageBreakBefore w:val="0"/>
                              <w:widowControl w:val="0"/>
                              <w:kinsoku/>
                              <w:wordWrap/>
                              <w:overflowPunct/>
                              <w:topLinePunct w:val="0"/>
                              <w:autoSpaceDE/>
                              <w:autoSpaceDN/>
                              <w:bidi w:val="0"/>
                              <w:adjustRightInd/>
                              <w:snapToGrid/>
                              <w:spacing w:before="0" w:line="360" w:lineRule="auto"/>
                              <w:ind w:left="937" w:leftChars="48" w:right="17" w:hanging="836" w:hangingChars="356"/>
                              <w:jc w:val="left"/>
                              <w:textAlignment w:val="auto"/>
                              <w:rPr>
                                <w:rFonts w:hint="eastAsia" w:ascii="仿宋_GB2312" w:hAnsi="仿宋_GB2312" w:eastAsia="仿宋_GB2312" w:cs="仿宋_GB2312"/>
                                <w:spacing w:val="-3"/>
                                <w:sz w:val="24"/>
                                <w:szCs w:val="24"/>
                                <w:lang w:eastAsia="zh-CN"/>
                              </w:rPr>
                            </w:pPr>
                            <w:r>
                              <w:rPr>
                                <w:rFonts w:hint="eastAsia" w:ascii="仿宋_GB2312" w:hAnsi="仿宋_GB2312" w:eastAsia="仿宋_GB2312" w:cs="仿宋_GB2312"/>
                                <w:b/>
                                <w:bCs/>
                                <w:spacing w:val="-3"/>
                                <w:sz w:val="24"/>
                                <w:szCs w:val="24"/>
                              </w:rPr>
                              <w:t>对接方向：</w:t>
                            </w:r>
                            <w:r>
                              <w:rPr>
                                <w:rFonts w:hint="eastAsia" w:ascii="仿宋_GB2312" w:hAnsi="仿宋_GB2312" w:eastAsia="仿宋_GB2312" w:cs="仿宋_GB2312"/>
                                <w:spacing w:val="-3"/>
                                <w:sz w:val="24"/>
                                <w:szCs w:val="24"/>
                                <w:lang w:val="en-US" w:eastAsia="zh-CN"/>
                              </w:rPr>
                              <w:t>北京大学、湘潭大学、国轩高科等锂电池研发制造企业及科研院所、新能源汽车制造企业、通讯基站电源制造公司。</w:t>
                            </w:r>
                          </w:p>
                          <w:p>
                            <w:pPr>
                              <w:keepNext w:val="0"/>
                              <w:keepLines w:val="0"/>
                              <w:pageBreakBefore w:val="0"/>
                              <w:widowControl w:val="0"/>
                              <w:kinsoku/>
                              <w:wordWrap/>
                              <w:overflowPunct/>
                              <w:topLinePunct w:val="0"/>
                              <w:autoSpaceDE/>
                              <w:autoSpaceDN/>
                              <w:bidi w:val="0"/>
                              <w:adjustRightInd/>
                              <w:snapToGrid/>
                              <w:spacing w:before="0" w:line="360" w:lineRule="auto"/>
                              <w:ind w:left="937" w:leftChars="48" w:right="17" w:hanging="836" w:hangingChars="356"/>
                              <w:jc w:val="left"/>
                              <w:textAlignment w:val="auto"/>
                              <w:rPr>
                                <w:rFonts w:hint="eastAsia" w:ascii="仿宋_GB2312" w:hAnsi="仿宋_GB2312" w:eastAsia="仿宋_GB2312" w:cs="仿宋_GB2312"/>
                                <w:spacing w:val="-3"/>
                                <w:sz w:val="24"/>
                                <w:szCs w:val="24"/>
                              </w:rPr>
                            </w:pPr>
                            <w:r>
                              <w:rPr>
                                <w:rFonts w:hint="eastAsia" w:ascii="仿宋_GB2312" w:hAnsi="仿宋_GB2312" w:eastAsia="仿宋_GB2312" w:cs="仿宋_GB2312"/>
                                <w:b/>
                                <w:bCs/>
                                <w:spacing w:val="-3"/>
                                <w:sz w:val="24"/>
                                <w:szCs w:val="24"/>
                              </w:rPr>
                              <w:t>重点企业</w:t>
                            </w:r>
                            <w:r>
                              <w:rPr>
                                <w:rFonts w:hint="eastAsia" w:ascii="仿宋_GB2312" w:hAnsi="仿宋_GB2312" w:eastAsia="仿宋_GB2312" w:cs="仿宋_GB2312"/>
                                <w:spacing w:val="-3"/>
                                <w:sz w:val="24"/>
                                <w:szCs w:val="24"/>
                              </w:rPr>
                              <w:t>：宁夏滨河新材料科技有限公司、宁夏众城新能源科技有限公司、宁夏昊联新能源材料科技有限公司。</w:t>
                            </w:r>
                          </w:p>
                          <w:p>
                            <w:pPr>
                              <w:keepNext w:val="0"/>
                              <w:keepLines w:val="0"/>
                              <w:pageBreakBefore w:val="0"/>
                              <w:widowControl w:val="0"/>
                              <w:kinsoku/>
                              <w:wordWrap/>
                              <w:overflowPunct/>
                              <w:topLinePunct w:val="0"/>
                              <w:autoSpaceDE/>
                              <w:autoSpaceDN/>
                              <w:bidi w:val="0"/>
                              <w:adjustRightInd/>
                              <w:snapToGrid/>
                              <w:spacing w:before="0" w:line="360" w:lineRule="auto"/>
                              <w:ind w:left="937" w:leftChars="48" w:right="17" w:hanging="836" w:hangingChars="356"/>
                              <w:jc w:val="left"/>
                              <w:textAlignment w:val="auto"/>
                              <w:rPr>
                                <w:rFonts w:hint="eastAsia" w:ascii="仿宋_GB2312" w:hAnsi="仿宋_GB2312" w:eastAsia="仿宋_GB2312" w:cs="仿宋_GB2312"/>
                                <w:spacing w:val="-3"/>
                                <w:sz w:val="24"/>
                                <w:szCs w:val="24"/>
                              </w:rPr>
                            </w:pPr>
                            <w:r>
                              <w:rPr>
                                <w:rFonts w:hint="eastAsia" w:ascii="仿宋_GB2312" w:hAnsi="仿宋_GB2312" w:eastAsia="仿宋_GB2312" w:cs="仿宋_GB2312"/>
                                <w:b/>
                                <w:bCs/>
                                <w:spacing w:val="-3"/>
                                <w:sz w:val="24"/>
                                <w:szCs w:val="24"/>
                              </w:rPr>
                              <w:t>重点项目</w:t>
                            </w:r>
                            <w:r>
                              <w:rPr>
                                <w:rFonts w:hint="eastAsia" w:ascii="仿宋_GB2312" w:hAnsi="仿宋_GB2312" w:eastAsia="仿宋_GB2312" w:cs="仿宋_GB2312"/>
                                <w:spacing w:val="-3"/>
                                <w:sz w:val="24"/>
                                <w:szCs w:val="24"/>
                              </w:rPr>
                              <w:t>：滨河新材料电池正极材料、众城新能源年产</w:t>
                            </w:r>
                            <w:r>
                              <w:rPr>
                                <w:rFonts w:hint="eastAsia" w:ascii="仿宋_GB2312" w:hAnsi="仿宋_GB2312" w:eastAsia="仿宋_GB2312" w:cs="仿宋_GB2312"/>
                                <w:spacing w:val="-3"/>
                                <w:sz w:val="24"/>
                                <w:szCs w:val="24"/>
                                <w:lang w:val="en-US" w:eastAsia="zh-CN"/>
                              </w:rPr>
                              <w:t>6000吨</w:t>
                            </w:r>
                            <w:r>
                              <w:rPr>
                                <w:rFonts w:hint="eastAsia" w:ascii="仿宋_GB2312" w:hAnsi="仿宋_GB2312" w:eastAsia="仿宋_GB2312" w:cs="仿宋_GB2312"/>
                                <w:spacing w:val="-3"/>
                                <w:sz w:val="24"/>
                                <w:szCs w:val="24"/>
                              </w:rPr>
                              <w:t>负极材料。</w:t>
                            </w:r>
                          </w:p>
                        </w:txbxContent>
                      </wps:txbx>
                      <wps:bodyPr lIns="0" tIns="0" rIns="0" bIns="0" upright="1"/>
                    </wps:wsp>
                  </a:graphicData>
                </a:graphic>
              </wp:inline>
            </w:drawing>
          </mc:Choice>
          <mc:Fallback>
            <w:pict>
              <v:rect id="Quad Arrow 10" o:spid="_x0000_s1026" o:spt="1" style="height:195.9pt;width:424.15pt;" filled="f" stroked="t" coordsize="21600,21600" o:gfxdata="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Q2QKOdYAAAAFAQAADwAAAAAAAAABACAAAAAiAAAAZHJzL2Rvd25yZXYueG1sUEsB&#10;AhQAFAAAAAgAh07iQBqv6wL3AQAAAAQAAA4AAAAAAAAAAQAgAAAAJQEAAGRycy9lMm9Eb2MueG1s&#10;UEsFBgAAAAAGAAYAWQEAAI4FAAAAAA==&#10;">
                <v:fill on="f" focussize="0,0"/>
                <v:stroke weight="0.47992125984252pt" color="#000000" joinstyle="miter"/>
                <v:imagedata o:title=""/>
                <o:lock v:ext="edit" rotation="t" aspectratio="f"/>
                <v:textbox inset="0mm,0mm,0mm,0mm">
                  <w:txbxContent>
                    <w:p>
                      <w:pPr>
                        <w:spacing w:before="40" w:line="163" w:lineRule="auto"/>
                        <w:ind w:left="103" w:right="-15" w:firstLine="0"/>
                        <w:jc w:val="left"/>
                        <w:rPr>
                          <w:rFonts w:hint="eastAsia" w:ascii="仿宋_GB2312" w:hAnsi="仿宋_GB2312" w:eastAsia="仿宋_GB2312" w:cs="仿宋_GB2312"/>
                          <w:b/>
                          <w:sz w:val="24"/>
                          <w:szCs w:val="24"/>
                        </w:rPr>
                      </w:pPr>
                    </w:p>
                    <w:p>
                      <w:pPr>
                        <w:keepNext w:val="0"/>
                        <w:keepLines w:val="0"/>
                        <w:pageBreakBefore w:val="0"/>
                        <w:widowControl w:val="0"/>
                        <w:kinsoku/>
                        <w:wordWrap/>
                        <w:overflowPunct/>
                        <w:topLinePunct w:val="0"/>
                        <w:autoSpaceDE/>
                        <w:autoSpaceDN/>
                        <w:bidi w:val="0"/>
                        <w:adjustRightInd/>
                        <w:snapToGrid/>
                        <w:spacing w:before="0" w:line="360" w:lineRule="auto"/>
                        <w:ind w:left="959" w:leftChars="48" w:right="17" w:hanging="858" w:hangingChars="356"/>
                        <w:jc w:val="left"/>
                        <w:textAlignment w:val="auto"/>
                        <w:rPr>
                          <w:rFonts w:hint="eastAsia" w:ascii="仿宋_GB2312" w:hAnsi="仿宋_GB2312" w:eastAsia="仿宋_GB2312" w:cs="仿宋_GB2312"/>
                          <w:spacing w:val="-3"/>
                          <w:sz w:val="24"/>
                          <w:szCs w:val="24"/>
                        </w:rPr>
                      </w:pPr>
                      <w:r>
                        <w:rPr>
                          <w:rFonts w:hint="eastAsia" w:ascii="仿宋_GB2312" w:hAnsi="仿宋_GB2312" w:eastAsia="仿宋_GB2312" w:cs="仿宋_GB2312"/>
                          <w:b/>
                          <w:sz w:val="24"/>
                          <w:szCs w:val="24"/>
                        </w:rPr>
                        <w:t>主要产品：</w:t>
                      </w:r>
                      <w:r>
                        <w:rPr>
                          <w:rFonts w:hint="eastAsia" w:ascii="仿宋_GB2312" w:hAnsi="仿宋_GB2312" w:eastAsia="仿宋_GB2312" w:cs="仿宋_GB2312"/>
                          <w:spacing w:val="-3"/>
                          <w:sz w:val="24"/>
                          <w:szCs w:val="24"/>
                        </w:rPr>
                        <w:t>新型锂离子电池正极材料磷酸铁锂、</w:t>
                      </w:r>
                      <w:r>
                        <w:rPr>
                          <w:rFonts w:hint="eastAsia" w:ascii="仿宋_GB2312" w:hAnsi="仿宋_GB2312" w:eastAsia="仿宋_GB2312" w:cs="仿宋_GB2312"/>
                          <w:spacing w:val="-3"/>
                          <w:sz w:val="24"/>
                          <w:szCs w:val="24"/>
                          <w:lang w:val="en-US" w:eastAsia="zh-CN"/>
                        </w:rPr>
                        <w:t>新型硅碳负极材料</w:t>
                      </w:r>
                      <w:r>
                        <w:rPr>
                          <w:rFonts w:hint="eastAsia" w:ascii="仿宋_GB2312" w:hAnsi="仿宋_GB2312" w:eastAsia="仿宋_GB2312" w:cs="仿宋_GB2312"/>
                          <w:spacing w:val="-3"/>
                          <w:sz w:val="24"/>
                          <w:szCs w:val="24"/>
                          <w:lang w:eastAsia="zh-CN"/>
                        </w:rPr>
                        <w:t>。</w:t>
                      </w:r>
                    </w:p>
                    <w:p>
                      <w:pPr>
                        <w:keepNext w:val="0"/>
                        <w:keepLines w:val="0"/>
                        <w:pageBreakBefore w:val="0"/>
                        <w:widowControl w:val="0"/>
                        <w:kinsoku/>
                        <w:wordWrap/>
                        <w:overflowPunct/>
                        <w:topLinePunct w:val="0"/>
                        <w:autoSpaceDE/>
                        <w:autoSpaceDN/>
                        <w:bidi w:val="0"/>
                        <w:adjustRightInd/>
                        <w:snapToGrid/>
                        <w:spacing w:before="0" w:line="360" w:lineRule="auto"/>
                        <w:ind w:left="937" w:leftChars="48" w:right="17" w:hanging="836" w:hangingChars="356"/>
                        <w:jc w:val="left"/>
                        <w:textAlignment w:val="auto"/>
                        <w:rPr>
                          <w:rFonts w:hint="eastAsia" w:ascii="仿宋_GB2312" w:hAnsi="仿宋_GB2312" w:eastAsia="仿宋_GB2312" w:cs="仿宋_GB2312"/>
                          <w:spacing w:val="-3"/>
                          <w:sz w:val="24"/>
                          <w:szCs w:val="24"/>
                          <w:lang w:val="en-US" w:eastAsia="zh-CN"/>
                        </w:rPr>
                      </w:pPr>
                      <w:r>
                        <w:rPr>
                          <w:rFonts w:hint="eastAsia" w:ascii="仿宋_GB2312" w:hAnsi="仿宋_GB2312" w:eastAsia="仿宋_GB2312" w:cs="仿宋_GB2312"/>
                          <w:b/>
                          <w:bCs/>
                          <w:spacing w:val="-3"/>
                          <w:sz w:val="24"/>
                          <w:szCs w:val="24"/>
                        </w:rPr>
                        <w:t>产业链：</w:t>
                      </w:r>
                      <w:r>
                        <w:rPr>
                          <w:rFonts w:hint="eastAsia" w:ascii="仿宋_GB2312" w:hAnsi="仿宋_GB2312" w:eastAsia="仿宋_GB2312" w:cs="仿宋_GB2312"/>
                          <w:spacing w:val="-3"/>
                          <w:sz w:val="24"/>
                          <w:szCs w:val="24"/>
                          <w:lang w:eastAsia="zh-CN"/>
                        </w:rPr>
                        <w:t>正极材料</w:t>
                      </w:r>
                      <w:r>
                        <w:rPr>
                          <w:rFonts w:hint="eastAsia" w:ascii="仿宋_GB2312" w:hAnsi="仿宋_GB2312" w:eastAsia="仿宋_GB2312" w:cs="仿宋_GB2312"/>
                          <w:spacing w:val="-3"/>
                          <w:sz w:val="24"/>
                          <w:szCs w:val="24"/>
                          <w:lang w:val="en-US" w:eastAsia="zh-CN"/>
                        </w:rPr>
                        <w:t>/负极材料+电解液/隔膜—锂电池组件及成品—应用领域。</w:t>
                      </w:r>
                    </w:p>
                    <w:p>
                      <w:pPr>
                        <w:keepNext w:val="0"/>
                        <w:keepLines w:val="0"/>
                        <w:pageBreakBefore w:val="0"/>
                        <w:widowControl w:val="0"/>
                        <w:kinsoku/>
                        <w:wordWrap/>
                        <w:overflowPunct/>
                        <w:topLinePunct w:val="0"/>
                        <w:autoSpaceDE/>
                        <w:autoSpaceDN/>
                        <w:bidi w:val="0"/>
                        <w:adjustRightInd/>
                        <w:snapToGrid/>
                        <w:spacing w:before="0" w:line="360" w:lineRule="auto"/>
                        <w:ind w:left="937" w:leftChars="48" w:right="17" w:hanging="836" w:hangingChars="356"/>
                        <w:jc w:val="left"/>
                        <w:textAlignment w:val="auto"/>
                        <w:rPr>
                          <w:rFonts w:hint="eastAsia" w:ascii="仿宋_GB2312" w:hAnsi="仿宋_GB2312" w:eastAsia="仿宋_GB2312" w:cs="仿宋_GB2312"/>
                          <w:spacing w:val="-3"/>
                          <w:sz w:val="24"/>
                          <w:szCs w:val="24"/>
                          <w:lang w:eastAsia="zh-CN"/>
                        </w:rPr>
                      </w:pPr>
                      <w:r>
                        <w:rPr>
                          <w:rFonts w:hint="eastAsia" w:ascii="仿宋_GB2312" w:hAnsi="仿宋_GB2312" w:eastAsia="仿宋_GB2312" w:cs="仿宋_GB2312"/>
                          <w:b/>
                          <w:bCs/>
                          <w:spacing w:val="-3"/>
                          <w:sz w:val="24"/>
                          <w:szCs w:val="24"/>
                        </w:rPr>
                        <w:t>对接方向：</w:t>
                      </w:r>
                      <w:r>
                        <w:rPr>
                          <w:rFonts w:hint="eastAsia" w:ascii="仿宋_GB2312" w:hAnsi="仿宋_GB2312" w:eastAsia="仿宋_GB2312" w:cs="仿宋_GB2312"/>
                          <w:spacing w:val="-3"/>
                          <w:sz w:val="24"/>
                          <w:szCs w:val="24"/>
                          <w:lang w:val="en-US" w:eastAsia="zh-CN"/>
                        </w:rPr>
                        <w:t>北京大学、湘潭大学、国轩高科等锂电池研发制造企业及科研院所、新能源汽车制造企业、通讯基站电源制造公司。</w:t>
                      </w:r>
                    </w:p>
                    <w:p>
                      <w:pPr>
                        <w:keepNext w:val="0"/>
                        <w:keepLines w:val="0"/>
                        <w:pageBreakBefore w:val="0"/>
                        <w:widowControl w:val="0"/>
                        <w:kinsoku/>
                        <w:wordWrap/>
                        <w:overflowPunct/>
                        <w:topLinePunct w:val="0"/>
                        <w:autoSpaceDE/>
                        <w:autoSpaceDN/>
                        <w:bidi w:val="0"/>
                        <w:adjustRightInd/>
                        <w:snapToGrid/>
                        <w:spacing w:before="0" w:line="360" w:lineRule="auto"/>
                        <w:ind w:left="937" w:leftChars="48" w:right="17" w:hanging="836" w:hangingChars="356"/>
                        <w:jc w:val="left"/>
                        <w:textAlignment w:val="auto"/>
                        <w:rPr>
                          <w:rFonts w:hint="eastAsia" w:ascii="仿宋_GB2312" w:hAnsi="仿宋_GB2312" w:eastAsia="仿宋_GB2312" w:cs="仿宋_GB2312"/>
                          <w:spacing w:val="-3"/>
                          <w:sz w:val="24"/>
                          <w:szCs w:val="24"/>
                        </w:rPr>
                      </w:pPr>
                      <w:r>
                        <w:rPr>
                          <w:rFonts w:hint="eastAsia" w:ascii="仿宋_GB2312" w:hAnsi="仿宋_GB2312" w:eastAsia="仿宋_GB2312" w:cs="仿宋_GB2312"/>
                          <w:b/>
                          <w:bCs/>
                          <w:spacing w:val="-3"/>
                          <w:sz w:val="24"/>
                          <w:szCs w:val="24"/>
                        </w:rPr>
                        <w:t>重点企业</w:t>
                      </w:r>
                      <w:r>
                        <w:rPr>
                          <w:rFonts w:hint="eastAsia" w:ascii="仿宋_GB2312" w:hAnsi="仿宋_GB2312" w:eastAsia="仿宋_GB2312" w:cs="仿宋_GB2312"/>
                          <w:spacing w:val="-3"/>
                          <w:sz w:val="24"/>
                          <w:szCs w:val="24"/>
                        </w:rPr>
                        <w:t>：宁夏滨河新材料科技有限公司、宁夏众城新能源科技有限公司、宁夏昊联新能源材料科技有限公司。</w:t>
                      </w:r>
                    </w:p>
                    <w:p>
                      <w:pPr>
                        <w:keepNext w:val="0"/>
                        <w:keepLines w:val="0"/>
                        <w:pageBreakBefore w:val="0"/>
                        <w:widowControl w:val="0"/>
                        <w:kinsoku/>
                        <w:wordWrap/>
                        <w:overflowPunct/>
                        <w:topLinePunct w:val="0"/>
                        <w:autoSpaceDE/>
                        <w:autoSpaceDN/>
                        <w:bidi w:val="0"/>
                        <w:adjustRightInd/>
                        <w:snapToGrid/>
                        <w:spacing w:before="0" w:line="360" w:lineRule="auto"/>
                        <w:ind w:left="937" w:leftChars="48" w:right="17" w:hanging="836" w:hangingChars="356"/>
                        <w:jc w:val="left"/>
                        <w:textAlignment w:val="auto"/>
                        <w:rPr>
                          <w:rFonts w:hint="eastAsia" w:ascii="仿宋_GB2312" w:hAnsi="仿宋_GB2312" w:eastAsia="仿宋_GB2312" w:cs="仿宋_GB2312"/>
                          <w:spacing w:val="-3"/>
                          <w:sz w:val="24"/>
                          <w:szCs w:val="24"/>
                        </w:rPr>
                      </w:pPr>
                      <w:r>
                        <w:rPr>
                          <w:rFonts w:hint="eastAsia" w:ascii="仿宋_GB2312" w:hAnsi="仿宋_GB2312" w:eastAsia="仿宋_GB2312" w:cs="仿宋_GB2312"/>
                          <w:b/>
                          <w:bCs/>
                          <w:spacing w:val="-3"/>
                          <w:sz w:val="24"/>
                          <w:szCs w:val="24"/>
                        </w:rPr>
                        <w:t>重点项目</w:t>
                      </w:r>
                      <w:r>
                        <w:rPr>
                          <w:rFonts w:hint="eastAsia" w:ascii="仿宋_GB2312" w:hAnsi="仿宋_GB2312" w:eastAsia="仿宋_GB2312" w:cs="仿宋_GB2312"/>
                          <w:spacing w:val="-3"/>
                          <w:sz w:val="24"/>
                          <w:szCs w:val="24"/>
                        </w:rPr>
                        <w:t>：滨河新材料电池正极材料、众城新能源年产</w:t>
                      </w:r>
                      <w:r>
                        <w:rPr>
                          <w:rFonts w:hint="eastAsia" w:ascii="仿宋_GB2312" w:hAnsi="仿宋_GB2312" w:eastAsia="仿宋_GB2312" w:cs="仿宋_GB2312"/>
                          <w:spacing w:val="-3"/>
                          <w:sz w:val="24"/>
                          <w:szCs w:val="24"/>
                          <w:lang w:val="en-US" w:eastAsia="zh-CN"/>
                        </w:rPr>
                        <w:t>6000吨</w:t>
                      </w:r>
                      <w:r>
                        <w:rPr>
                          <w:rFonts w:hint="eastAsia" w:ascii="仿宋_GB2312" w:hAnsi="仿宋_GB2312" w:eastAsia="仿宋_GB2312" w:cs="仿宋_GB2312"/>
                          <w:spacing w:val="-3"/>
                          <w:sz w:val="24"/>
                          <w:szCs w:val="24"/>
                        </w:rPr>
                        <w:t>负极材料。</w:t>
                      </w:r>
                    </w:p>
                  </w:txbxContent>
                </v:textbox>
                <w10:wrap type="none"/>
                <w10:anchorlock/>
              </v:rect>
            </w:pict>
          </mc:Fallback>
        </mc:AlternateContent>
      </w:r>
    </w:p>
    <w:p>
      <w:pPr>
        <w:keepNext w:val="0"/>
        <w:keepLines w:val="0"/>
        <w:pageBreakBefore w:val="0"/>
        <w:widowControl w:val="0"/>
        <w:kinsoku/>
        <w:wordWrap/>
        <w:overflowPunct/>
        <w:topLinePunct w:val="0"/>
        <w:autoSpaceDE/>
        <w:autoSpaceDN/>
        <w:bidi w:val="0"/>
        <w:adjustRightInd/>
        <w:snapToGrid/>
        <w:spacing w:line="560" w:lineRule="exact"/>
        <w:ind w:firstLine="602"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5.化工新材料产业。</w:t>
      </w:r>
      <w:r>
        <w:rPr>
          <w:rFonts w:hint="eastAsia" w:ascii="仿宋_GB2312" w:hAnsi="仿宋_GB2312" w:eastAsia="仿宋_GB2312" w:cs="仿宋_GB2312"/>
          <w:sz w:val="30"/>
          <w:szCs w:val="30"/>
          <w:lang w:val="en-US" w:eastAsia="zh-CN"/>
        </w:rPr>
        <w:t>重点发展PVA、PVB、芳纶聚合单体、广谱抗病毒药物、BDO等化工新材料；加快推进冠能年产50万吨BDO、滨河永泰年产30万吨BDO、蓝博思年产60吨广谱抗病毒药物TZV医药中间体、原料药及制剂等项目建设进度，不断提升产品附加值。</w:t>
      </w:r>
    </w:p>
    <w:p>
      <w:pPr>
        <w:bidi w:val="0"/>
        <w:ind w:firstLine="2409" w:firstLineChars="800"/>
        <w:rPr>
          <w:rFonts w:hint="eastAsia" w:ascii="仿宋_GB2312" w:hAnsi="仿宋_GB2312" w:eastAsia="仿宋_GB2312" w:cs="仿宋_GB2312"/>
          <w:b/>
          <w:bCs/>
          <w:sz w:val="30"/>
          <w:szCs w:val="30"/>
          <w:lang w:val="en-US" w:eastAsia="zh-CN"/>
        </w:rPr>
      </w:pPr>
      <w:r>
        <w:rPr>
          <w:rFonts w:hint="eastAsia" w:ascii="仿宋_GB2312" w:hAnsi="仿宋_GB2312" w:eastAsia="仿宋_GB2312" w:cs="仿宋_GB2312"/>
          <w:b/>
          <w:bCs/>
          <w:sz w:val="30"/>
          <w:szCs w:val="30"/>
          <w:lang w:val="en-US" w:eastAsia="zh-CN"/>
        </w:rPr>
        <w:t>专栏1-5 化工新材料产业</w:t>
      </w:r>
    </w:p>
    <w:p>
      <w:pPr>
        <w:pStyle w:val="2"/>
        <w:rPr>
          <w:rFonts w:hint="eastAsia" w:ascii="仿宋_GB2312" w:hAnsi="仿宋_GB2312" w:eastAsia="仿宋_GB2312" w:cs="仿宋_GB2312"/>
          <w:b/>
          <w:bCs/>
          <w:sz w:val="30"/>
          <w:szCs w:val="30"/>
          <w:lang w:val="en-US" w:eastAsia="zh-CN"/>
        </w:rPr>
      </w:pPr>
      <w:r>
        <w:rPr>
          <w:sz w:val="32"/>
        </w:rPr>
        <mc:AlternateContent>
          <mc:Choice Requires="wps">
            <w:drawing>
              <wp:anchor distT="0" distB="0" distL="114300" distR="114300" simplePos="0" relativeHeight="251661312" behindDoc="0" locked="0" layoutInCell="1" allowOverlap="1">
                <wp:simplePos x="0" y="0"/>
                <wp:positionH relativeFrom="column">
                  <wp:posOffset>36195</wp:posOffset>
                </wp:positionH>
                <wp:positionV relativeFrom="paragraph">
                  <wp:posOffset>50165</wp:posOffset>
                </wp:positionV>
                <wp:extent cx="5327650" cy="3362960"/>
                <wp:effectExtent l="6350" t="6350" r="19050" b="21590"/>
                <wp:wrapNone/>
                <wp:docPr id="16" name="矩形 16"/>
                <wp:cNvGraphicFramePr/>
                <a:graphic xmlns:a="http://schemas.openxmlformats.org/drawingml/2006/main">
                  <a:graphicData uri="http://schemas.microsoft.com/office/word/2010/wordprocessingShape">
                    <wps:wsp>
                      <wps:cNvSpPr/>
                      <wps:spPr>
                        <a:xfrm>
                          <a:off x="1327785" y="741045"/>
                          <a:ext cx="5327650" cy="33629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before="0" w:line="360" w:lineRule="auto"/>
                              <w:ind w:left="959" w:leftChars="48" w:right="17" w:hanging="858" w:hangingChars="356"/>
                              <w:jc w:val="left"/>
                              <w:textAlignment w:val="auto"/>
                              <w:rPr>
                                <w:rFonts w:hint="eastAsia" w:ascii="仿宋_GB2312" w:hAnsi="仿宋_GB2312" w:eastAsia="仿宋_GB2312" w:cs="仿宋_GB2312"/>
                                <w:spacing w:val="-3"/>
                                <w:sz w:val="24"/>
                                <w:szCs w:val="24"/>
                                <w:lang w:val="en-US" w:eastAsia="zh-CN"/>
                              </w:rPr>
                            </w:pPr>
                            <w:r>
                              <w:rPr>
                                <w:rFonts w:hint="eastAsia" w:ascii="仿宋_GB2312" w:hAnsi="仿宋_GB2312" w:eastAsia="仿宋_GB2312" w:cs="仿宋_GB2312"/>
                                <w:b/>
                                <w:color w:val="080808"/>
                                <w:sz w:val="24"/>
                                <w:szCs w:val="24"/>
                                <w:lang w:val="en-US" w:eastAsia="zh-CN"/>
                              </w:rPr>
                              <w:t>主要产品：</w:t>
                            </w:r>
                            <w:r>
                              <w:rPr>
                                <w:rFonts w:hint="eastAsia" w:ascii="仿宋_GB2312" w:hAnsi="仿宋_GB2312" w:eastAsia="仿宋_GB2312" w:cs="仿宋_GB2312"/>
                                <w:spacing w:val="-3"/>
                                <w:sz w:val="24"/>
                                <w:szCs w:val="24"/>
                                <w:lang w:val="en-US" w:eastAsia="zh-CN"/>
                              </w:rPr>
                              <w:t>PVB（汽车、建筑、光伏）、聚乙烯醇水溶纤维、芳纶聚合单体等。</w:t>
                            </w:r>
                          </w:p>
                          <w:p>
                            <w:pPr>
                              <w:keepNext w:val="0"/>
                              <w:keepLines w:val="0"/>
                              <w:pageBreakBefore w:val="0"/>
                              <w:widowControl w:val="0"/>
                              <w:kinsoku/>
                              <w:wordWrap/>
                              <w:overflowPunct/>
                              <w:topLinePunct w:val="0"/>
                              <w:autoSpaceDE/>
                              <w:autoSpaceDN/>
                              <w:bidi w:val="0"/>
                              <w:adjustRightInd/>
                              <w:snapToGrid/>
                              <w:spacing w:before="0" w:line="360" w:lineRule="auto"/>
                              <w:ind w:left="937" w:leftChars="48" w:right="17" w:hanging="836" w:hangingChars="356"/>
                              <w:jc w:val="left"/>
                              <w:textAlignment w:val="auto"/>
                              <w:rPr>
                                <w:rFonts w:hint="eastAsia" w:ascii="仿宋_GB2312" w:hAnsi="仿宋_GB2312" w:eastAsia="仿宋_GB2312" w:cs="仿宋_GB2312"/>
                                <w:spacing w:val="-3"/>
                                <w:sz w:val="24"/>
                                <w:szCs w:val="24"/>
                                <w:lang w:val="en-US" w:eastAsia="zh-CN"/>
                              </w:rPr>
                            </w:pPr>
                            <w:r>
                              <w:rPr>
                                <w:rFonts w:hint="eastAsia" w:ascii="仿宋_GB2312" w:hAnsi="仿宋_GB2312" w:eastAsia="仿宋_GB2312" w:cs="仿宋_GB2312"/>
                                <w:b/>
                                <w:bCs/>
                                <w:spacing w:val="-3"/>
                                <w:sz w:val="24"/>
                                <w:szCs w:val="24"/>
                                <w:lang w:val="en-US" w:eastAsia="zh-CN"/>
                              </w:rPr>
                              <w:t>产业链：</w:t>
                            </w:r>
                            <w:r>
                              <w:rPr>
                                <w:rFonts w:hint="eastAsia" w:ascii="仿宋_GB2312" w:hAnsi="仿宋_GB2312" w:eastAsia="仿宋_GB2312" w:cs="仿宋_GB2312"/>
                                <w:spacing w:val="-3"/>
                                <w:sz w:val="24"/>
                                <w:szCs w:val="24"/>
                                <w:lang w:val="en-US" w:eastAsia="zh-CN"/>
                              </w:rPr>
                              <w:t>间（对）苯二甲酸—芳纶聚合单体—间（对）位芳纶纤维；有（无）机氯产品—发泡剂/高分子化合物/氯化聚合物—聚乙烯醇/次氯酸钠等；</w:t>
                            </w:r>
                          </w:p>
                          <w:p>
                            <w:pPr>
                              <w:keepNext w:val="0"/>
                              <w:keepLines w:val="0"/>
                              <w:pageBreakBefore w:val="0"/>
                              <w:widowControl w:val="0"/>
                              <w:kinsoku/>
                              <w:wordWrap/>
                              <w:overflowPunct/>
                              <w:topLinePunct w:val="0"/>
                              <w:autoSpaceDE/>
                              <w:autoSpaceDN/>
                              <w:bidi w:val="0"/>
                              <w:adjustRightInd/>
                              <w:snapToGrid/>
                              <w:spacing w:before="0" w:line="360" w:lineRule="auto"/>
                              <w:ind w:left="937" w:leftChars="48" w:right="17" w:hanging="836" w:hangingChars="356"/>
                              <w:jc w:val="left"/>
                              <w:textAlignment w:val="auto"/>
                              <w:rPr>
                                <w:rFonts w:hint="eastAsia" w:ascii="仿宋_GB2312" w:hAnsi="仿宋_GB2312" w:eastAsia="仿宋_GB2312" w:cs="仿宋_GB2312"/>
                                <w:spacing w:val="-3"/>
                                <w:sz w:val="24"/>
                                <w:szCs w:val="24"/>
                                <w:lang w:val="en-US" w:eastAsia="zh-CN"/>
                              </w:rPr>
                            </w:pPr>
                            <w:r>
                              <w:rPr>
                                <w:rFonts w:hint="eastAsia" w:ascii="仿宋_GB2312" w:hAnsi="仿宋_GB2312" w:eastAsia="仿宋_GB2312" w:cs="仿宋_GB2312"/>
                                <w:b/>
                                <w:bCs/>
                                <w:spacing w:val="-3"/>
                                <w:sz w:val="24"/>
                                <w:szCs w:val="24"/>
                                <w:lang w:val="en-US" w:eastAsia="zh-CN"/>
                              </w:rPr>
                              <w:t>对接方向</w:t>
                            </w:r>
                            <w:r>
                              <w:rPr>
                                <w:rFonts w:hint="eastAsia" w:ascii="仿宋_GB2312" w:hAnsi="仿宋_GB2312" w:eastAsia="仿宋_GB2312" w:cs="仿宋_GB2312"/>
                                <w:spacing w:val="-3"/>
                                <w:sz w:val="24"/>
                                <w:szCs w:val="24"/>
                                <w:lang w:val="en-US" w:eastAsia="zh-CN"/>
                              </w:rPr>
                              <w:t>：中国化工学会、浙江工业大学、沈阳化工研究院、四川大学（医药、农药、饲料）、北京化工研究院等相关领域企业及科研院所。</w:t>
                            </w:r>
                          </w:p>
                          <w:p>
                            <w:pPr>
                              <w:keepNext w:val="0"/>
                              <w:keepLines w:val="0"/>
                              <w:pageBreakBefore w:val="0"/>
                              <w:widowControl w:val="0"/>
                              <w:kinsoku/>
                              <w:wordWrap/>
                              <w:overflowPunct/>
                              <w:topLinePunct w:val="0"/>
                              <w:autoSpaceDE/>
                              <w:autoSpaceDN/>
                              <w:bidi w:val="0"/>
                              <w:adjustRightInd/>
                              <w:snapToGrid/>
                              <w:spacing w:before="0" w:line="360" w:lineRule="auto"/>
                              <w:ind w:left="937" w:leftChars="48" w:right="17" w:hanging="836" w:hangingChars="356"/>
                              <w:jc w:val="left"/>
                              <w:textAlignment w:val="auto"/>
                              <w:rPr>
                                <w:rFonts w:hint="eastAsia" w:ascii="仿宋_GB2312" w:hAnsi="仿宋_GB2312" w:eastAsia="仿宋_GB2312" w:cs="仿宋_GB2312"/>
                                <w:spacing w:val="-3"/>
                                <w:sz w:val="24"/>
                                <w:szCs w:val="24"/>
                                <w:lang w:val="en-US" w:eastAsia="zh-CN"/>
                              </w:rPr>
                            </w:pPr>
                            <w:r>
                              <w:rPr>
                                <w:rFonts w:hint="eastAsia" w:ascii="仿宋_GB2312" w:hAnsi="仿宋_GB2312" w:eastAsia="仿宋_GB2312" w:cs="仿宋_GB2312"/>
                                <w:b/>
                                <w:bCs/>
                                <w:spacing w:val="-3"/>
                                <w:sz w:val="24"/>
                                <w:szCs w:val="24"/>
                                <w:lang w:val="en-US" w:eastAsia="zh-CN"/>
                              </w:rPr>
                              <w:t>重点企业：</w:t>
                            </w:r>
                            <w:r>
                              <w:rPr>
                                <w:rFonts w:hint="eastAsia" w:ascii="仿宋_GB2312" w:hAnsi="仿宋_GB2312" w:eastAsia="仿宋_GB2312" w:cs="仿宋_GB2312"/>
                                <w:spacing w:val="-3"/>
                                <w:sz w:val="24"/>
                                <w:szCs w:val="24"/>
                                <w:lang w:val="en-US" w:eastAsia="zh-CN"/>
                              </w:rPr>
                              <w:t>宁夏丰华生物科技有限公司、宁夏大地循环发展股份有限公司。</w:t>
                            </w:r>
                          </w:p>
                          <w:p>
                            <w:pPr>
                              <w:keepNext w:val="0"/>
                              <w:keepLines w:val="0"/>
                              <w:pageBreakBefore w:val="0"/>
                              <w:widowControl w:val="0"/>
                              <w:kinsoku/>
                              <w:wordWrap/>
                              <w:overflowPunct/>
                              <w:topLinePunct w:val="0"/>
                              <w:autoSpaceDE/>
                              <w:autoSpaceDN/>
                              <w:bidi w:val="0"/>
                              <w:adjustRightInd/>
                              <w:snapToGrid/>
                              <w:spacing w:before="0" w:line="360" w:lineRule="auto"/>
                              <w:ind w:left="937" w:leftChars="48" w:right="17" w:hanging="836" w:hangingChars="356"/>
                              <w:jc w:val="left"/>
                              <w:textAlignment w:val="auto"/>
                              <w:rPr>
                                <w:rFonts w:hint="default" w:ascii="仿宋_GB2312" w:hAnsi="仿宋_GB2312" w:eastAsia="仿宋_GB2312" w:cs="仿宋_GB2312"/>
                                <w:spacing w:val="-3"/>
                                <w:sz w:val="24"/>
                                <w:szCs w:val="24"/>
                                <w:lang w:val="en-US" w:eastAsia="zh-CN"/>
                              </w:rPr>
                            </w:pPr>
                            <w:r>
                              <w:rPr>
                                <w:rFonts w:hint="eastAsia" w:ascii="仿宋_GB2312" w:hAnsi="仿宋_GB2312" w:eastAsia="仿宋_GB2312" w:cs="仿宋_GB2312"/>
                                <w:b/>
                                <w:bCs/>
                                <w:spacing w:val="-3"/>
                                <w:sz w:val="24"/>
                                <w:szCs w:val="24"/>
                                <w:lang w:val="en-US" w:eastAsia="zh-CN"/>
                              </w:rPr>
                              <w:t>重点项目：</w:t>
                            </w:r>
                            <w:r>
                              <w:rPr>
                                <w:rFonts w:hint="eastAsia" w:ascii="仿宋_GB2312" w:hAnsi="仿宋_GB2312" w:eastAsia="仿宋_GB2312" w:cs="仿宋_GB2312"/>
                                <w:spacing w:val="-3"/>
                                <w:sz w:val="24"/>
                                <w:szCs w:val="24"/>
                                <w:lang w:val="en-US" w:eastAsia="zh-CN"/>
                              </w:rPr>
                              <w:t>大地循环年产1万吨聚乙烯醇水溶纤维、丰华生物年产8000吨芳纶聚合单体、冠能科技年产50万吨BDO、10万吨NMP、24万吨PTMEG、12万吨PBT、30万吨氨纶项目。</w:t>
                            </w:r>
                          </w:p>
                          <w:p>
                            <w:pPr>
                              <w:pStyle w:val="2"/>
                              <w:ind w:left="0" w:leftChars="0" w:firstLine="0" w:firstLineChars="0"/>
                              <w:rPr>
                                <w:rFonts w:hint="eastAsia"/>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5pt;margin-top:3.95pt;height:264.8pt;width:419.5pt;z-index:251661312;v-text-anchor:middle;mso-width-relative:page;mso-height-relative:page;" fillcolor="#FFFFFF [3201]" filled="t" stroked="t" coordsize="21600,21600" o:gfxdata="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F0l02/TAAAABwEAAA8AAAAAAAAAAQAgAAAAIgAAAGRycy9kb3ducmV2LnhtbFBLAQIUABQA&#10;AAAIAIdO4kAFN1g/ZwIAAL8EAAAOAAAAAAAAAAEAIAAAACIBAABkcnMvZTJvRG9jLnhtbFBLBQYA&#10;AAAABgAGAFkBAAD7BQAAAAA=&#10;">
                <v:fill on="t"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0" w:line="360" w:lineRule="auto"/>
                        <w:ind w:left="959" w:leftChars="48" w:right="17" w:hanging="858" w:hangingChars="356"/>
                        <w:jc w:val="left"/>
                        <w:textAlignment w:val="auto"/>
                        <w:rPr>
                          <w:rFonts w:hint="eastAsia" w:ascii="仿宋_GB2312" w:hAnsi="仿宋_GB2312" w:eastAsia="仿宋_GB2312" w:cs="仿宋_GB2312"/>
                          <w:spacing w:val="-3"/>
                          <w:sz w:val="24"/>
                          <w:szCs w:val="24"/>
                          <w:lang w:val="en-US" w:eastAsia="zh-CN"/>
                        </w:rPr>
                      </w:pPr>
                      <w:r>
                        <w:rPr>
                          <w:rFonts w:hint="eastAsia" w:ascii="仿宋_GB2312" w:hAnsi="仿宋_GB2312" w:eastAsia="仿宋_GB2312" w:cs="仿宋_GB2312"/>
                          <w:b/>
                          <w:color w:val="080808"/>
                          <w:sz w:val="24"/>
                          <w:szCs w:val="24"/>
                          <w:lang w:val="en-US" w:eastAsia="zh-CN"/>
                        </w:rPr>
                        <w:t>主要产品：</w:t>
                      </w:r>
                      <w:r>
                        <w:rPr>
                          <w:rFonts w:hint="eastAsia" w:ascii="仿宋_GB2312" w:hAnsi="仿宋_GB2312" w:eastAsia="仿宋_GB2312" w:cs="仿宋_GB2312"/>
                          <w:spacing w:val="-3"/>
                          <w:sz w:val="24"/>
                          <w:szCs w:val="24"/>
                          <w:lang w:val="en-US" w:eastAsia="zh-CN"/>
                        </w:rPr>
                        <w:t>PVB（汽车、建筑、光伏）、聚乙烯醇水溶纤维、芳纶聚合单体等。</w:t>
                      </w:r>
                    </w:p>
                    <w:p>
                      <w:pPr>
                        <w:keepNext w:val="0"/>
                        <w:keepLines w:val="0"/>
                        <w:pageBreakBefore w:val="0"/>
                        <w:widowControl w:val="0"/>
                        <w:kinsoku/>
                        <w:wordWrap/>
                        <w:overflowPunct/>
                        <w:topLinePunct w:val="0"/>
                        <w:autoSpaceDE/>
                        <w:autoSpaceDN/>
                        <w:bidi w:val="0"/>
                        <w:adjustRightInd/>
                        <w:snapToGrid/>
                        <w:spacing w:before="0" w:line="360" w:lineRule="auto"/>
                        <w:ind w:left="937" w:leftChars="48" w:right="17" w:hanging="836" w:hangingChars="356"/>
                        <w:jc w:val="left"/>
                        <w:textAlignment w:val="auto"/>
                        <w:rPr>
                          <w:rFonts w:hint="eastAsia" w:ascii="仿宋_GB2312" w:hAnsi="仿宋_GB2312" w:eastAsia="仿宋_GB2312" w:cs="仿宋_GB2312"/>
                          <w:spacing w:val="-3"/>
                          <w:sz w:val="24"/>
                          <w:szCs w:val="24"/>
                          <w:lang w:val="en-US" w:eastAsia="zh-CN"/>
                        </w:rPr>
                      </w:pPr>
                      <w:r>
                        <w:rPr>
                          <w:rFonts w:hint="eastAsia" w:ascii="仿宋_GB2312" w:hAnsi="仿宋_GB2312" w:eastAsia="仿宋_GB2312" w:cs="仿宋_GB2312"/>
                          <w:b/>
                          <w:bCs/>
                          <w:spacing w:val="-3"/>
                          <w:sz w:val="24"/>
                          <w:szCs w:val="24"/>
                          <w:lang w:val="en-US" w:eastAsia="zh-CN"/>
                        </w:rPr>
                        <w:t>产业链：</w:t>
                      </w:r>
                      <w:r>
                        <w:rPr>
                          <w:rFonts w:hint="eastAsia" w:ascii="仿宋_GB2312" w:hAnsi="仿宋_GB2312" w:eastAsia="仿宋_GB2312" w:cs="仿宋_GB2312"/>
                          <w:spacing w:val="-3"/>
                          <w:sz w:val="24"/>
                          <w:szCs w:val="24"/>
                          <w:lang w:val="en-US" w:eastAsia="zh-CN"/>
                        </w:rPr>
                        <w:t>间（对）苯二甲酸—芳纶聚合单体—间（对）位芳纶纤维；有（无）机氯产品—发泡剂/高分子化合物/氯化聚合物—聚乙烯醇/次氯酸钠等；</w:t>
                      </w:r>
                    </w:p>
                    <w:p>
                      <w:pPr>
                        <w:keepNext w:val="0"/>
                        <w:keepLines w:val="0"/>
                        <w:pageBreakBefore w:val="0"/>
                        <w:widowControl w:val="0"/>
                        <w:kinsoku/>
                        <w:wordWrap/>
                        <w:overflowPunct/>
                        <w:topLinePunct w:val="0"/>
                        <w:autoSpaceDE/>
                        <w:autoSpaceDN/>
                        <w:bidi w:val="0"/>
                        <w:adjustRightInd/>
                        <w:snapToGrid/>
                        <w:spacing w:before="0" w:line="360" w:lineRule="auto"/>
                        <w:ind w:left="937" w:leftChars="48" w:right="17" w:hanging="836" w:hangingChars="356"/>
                        <w:jc w:val="left"/>
                        <w:textAlignment w:val="auto"/>
                        <w:rPr>
                          <w:rFonts w:hint="eastAsia" w:ascii="仿宋_GB2312" w:hAnsi="仿宋_GB2312" w:eastAsia="仿宋_GB2312" w:cs="仿宋_GB2312"/>
                          <w:spacing w:val="-3"/>
                          <w:sz w:val="24"/>
                          <w:szCs w:val="24"/>
                          <w:lang w:val="en-US" w:eastAsia="zh-CN"/>
                        </w:rPr>
                      </w:pPr>
                      <w:r>
                        <w:rPr>
                          <w:rFonts w:hint="eastAsia" w:ascii="仿宋_GB2312" w:hAnsi="仿宋_GB2312" w:eastAsia="仿宋_GB2312" w:cs="仿宋_GB2312"/>
                          <w:b/>
                          <w:bCs/>
                          <w:spacing w:val="-3"/>
                          <w:sz w:val="24"/>
                          <w:szCs w:val="24"/>
                          <w:lang w:val="en-US" w:eastAsia="zh-CN"/>
                        </w:rPr>
                        <w:t>对接方向</w:t>
                      </w:r>
                      <w:r>
                        <w:rPr>
                          <w:rFonts w:hint="eastAsia" w:ascii="仿宋_GB2312" w:hAnsi="仿宋_GB2312" w:eastAsia="仿宋_GB2312" w:cs="仿宋_GB2312"/>
                          <w:spacing w:val="-3"/>
                          <w:sz w:val="24"/>
                          <w:szCs w:val="24"/>
                          <w:lang w:val="en-US" w:eastAsia="zh-CN"/>
                        </w:rPr>
                        <w:t>：中国化工学会、浙江工业大学、沈阳化工研究院、四川大学（医药、农药、饲料）、北京化工研究院等相关领域企业及科研院所。</w:t>
                      </w:r>
                    </w:p>
                    <w:p>
                      <w:pPr>
                        <w:keepNext w:val="0"/>
                        <w:keepLines w:val="0"/>
                        <w:pageBreakBefore w:val="0"/>
                        <w:widowControl w:val="0"/>
                        <w:kinsoku/>
                        <w:wordWrap/>
                        <w:overflowPunct/>
                        <w:topLinePunct w:val="0"/>
                        <w:autoSpaceDE/>
                        <w:autoSpaceDN/>
                        <w:bidi w:val="0"/>
                        <w:adjustRightInd/>
                        <w:snapToGrid/>
                        <w:spacing w:before="0" w:line="360" w:lineRule="auto"/>
                        <w:ind w:left="937" w:leftChars="48" w:right="17" w:hanging="836" w:hangingChars="356"/>
                        <w:jc w:val="left"/>
                        <w:textAlignment w:val="auto"/>
                        <w:rPr>
                          <w:rFonts w:hint="eastAsia" w:ascii="仿宋_GB2312" w:hAnsi="仿宋_GB2312" w:eastAsia="仿宋_GB2312" w:cs="仿宋_GB2312"/>
                          <w:spacing w:val="-3"/>
                          <w:sz w:val="24"/>
                          <w:szCs w:val="24"/>
                          <w:lang w:val="en-US" w:eastAsia="zh-CN"/>
                        </w:rPr>
                      </w:pPr>
                      <w:r>
                        <w:rPr>
                          <w:rFonts w:hint="eastAsia" w:ascii="仿宋_GB2312" w:hAnsi="仿宋_GB2312" w:eastAsia="仿宋_GB2312" w:cs="仿宋_GB2312"/>
                          <w:b/>
                          <w:bCs/>
                          <w:spacing w:val="-3"/>
                          <w:sz w:val="24"/>
                          <w:szCs w:val="24"/>
                          <w:lang w:val="en-US" w:eastAsia="zh-CN"/>
                        </w:rPr>
                        <w:t>重点企业：</w:t>
                      </w:r>
                      <w:r>
                        <w:rPr>
                          <w:rFonts w:hint="eastAsia" w:ascii="仿宋_GB2312" w:hAnsi="仿宋_GB2312" w:eastAsia="仿宋_GB2312" w:cs="仿宋_GB2312"/>
                          <w:spacing w:val="-3"/>
                          <w:sz w:val="24"/>
                          <w:szCs w:val="24"/>
                          <w:lang w:val="en-US" w:eastAsia="zh-CN"/>
                        </w:rPr>
                        <w:t>宁夏丰华生物科技有限公司、宁夏大地循环发展股份有限公司。</w:t>
                      </w:r>
                    </w:p>
                    <w:p>
                      <w:pPr>
                        <w:keepNext w:val="0"/>
                        <w:keepLines w:val="0"/>
                        <w:pageBreakBefore w:val="0"/>
                        <w:widowControl w:val="0"/>
                        <w:kinsoku/>
                        <w:wordWrap/>
                        <w:overflowPunct/>
                        <w:topLinePunct w:val="0"/>
                        <w:autoSpaceDE/>
                        <w:autoSpaceDN/>
                        <w:bidi w:val="0"/>
                        <w:adjustRightInd/>
                        <w:snapToGrid/>
                        <w:spacing w:before="0" w:line="360" w:lineRule="auto"/>
                        <w:ind w:left="937" w:leftChars="48" w:right="17" w:hanging="836" w:hangingChars="356"/>
                        <w:jc w:val="left"/>
                        <w:textAlignment w:val="auto"/>
                        <w:rPr>
                          <w:rFonts w:hint="default" w:ascii="仿宋_GB2312" w:hAnsi="仿宋_GB2312" w:eastAsia="仿宋_GB2312" w:cs="仿宋_GB2312"/>
                          <w:spacing w:val="-3"/>
                          <w:sz w:val="24"/>
                          <w:szCs w:val="24"/>
                          <w:lang w:val="en-US" w:eastAsia="zh-CN"/>
                        </w:rPr>
                      </w:pPr>
                      <w:r>
                        <w:rPr>
                          <w:rFonts w:hint="eastAsia" w:ascii="仿宋_GB2312" w:hAnsi="仿宋_GB2312" w:eastAsia="仿宋_GB2312" w:cs="仿宋_GB2312"/>
                          <w:b/>
                          <w:bCs/>
                          <w:spacing w:val="-3"/>
                          <w:sz w:val="24"/>
                          <w:szCs w:val="24"/>
                          <w:lang w:val="en-US" w:eastAsia="zh-CN"/>
                        </w:rPr>
                        <w:t>重点项目：</w:t>
                      </w:r>
                      <w:r>
                        <w:rPr>
                          <w:rFonts w:hint="eastAsia" w:ascii="仿宋_GB2312" w:hAnsi="仿宋_GB2312" w:eastAsia="仿宋_GB2312" w:cs="仿宋_GB2312"/>
                          <w:spacing w:val="-3"/>
                          <w:sz w:val="24"/>
                          <w:szCs w:val="24"/>
                          <w:lang w:val="en-US" w:eastAsia="zh-CN"/>
                        </w:rPr>
                        <w:t>大地循环年产1万吨聚乙烯醇水溶纤维、丰华生物年产8000吨芳纶聚合单体、冠能科技年产50万吨BDO、10万吨NMP、24万吨PTMEG、12万吨PBT、30万吨氨纶项目。</w:t>
                      </w:r>
                    </w:p>
                    <w:p>
                      <w:pPr>
                        <w:pStyle w:val="2"/>
                        <w:ind w:left="0" w:leftChars="0" w:firstLine="0" w:firstLineChars="0"/>
                        <w:rPr>
                          <w:rFonts w:hint="eastAsia"/>
                        </w:rPr>
                      </w:pPr>
                    </w:p>
                  </w:txbxContent>
                </v:textbox>
              </v:rect>
            </w:pict>
          </mc:Fallback>
        </mc:AlternateContent>
      </w:r>
    </w:p>
    <w:p>
      <w:pPr>
        <w:pStyle w:val="2"/>
        <w:rPr>
          <w:rFonts w:hint="eastAsia" w:ascii="仿宋_GB2312" w:hAnsi="仿宋_GB2312" w:eastAsia="仿宋_GB2312" w:cs="仿宋_GB2312"/>
          <w:b/>
          <w:bCs/>
          <w:sz w:val="30"/>
          <w:szCs w:val="30"/>
          <w:lang w:val="en-US" w:eastAsia="zh-CN"/>
        </w:rPr>
      </w:pPr>
    </w:p>
    <w:p>
      <w:pPr>
        <w:pStyle w:val="2"/>
        <w:rPr>
          <w:rFonts w:hint="eastAsia" w:ascii="仿宋_GB2312" w:hAnsi="仿宋_GB2312" w:eastAsia="仿宋_GB2312" w:cs="仿宋_GB2312"/>
          <w:b/>
          <w:bCs/>
          <w:sz w:val="30"/>
          <w:szCs w:val="30"/>
          <w:lang w:val="en-US" w:eastAsia="zh-CN"/>
        </w:rPr>
      </w:pPr>
    </w:p>
    <w:p>
      <w:pPr>
        <w:pStyle w:val="2"/>
        <w:rPr>
          <w:rFonts w:hint="eastAsia" w:ascii="仿宋_GB2312" w:hAnsi="仿宋_GB2312" w:eastAsia="仿宋_GB2312" w:cs="仿宋_GB2312"/>
          <w:b/>
          <w:bCs/>
          <w:sz w:val="30"/>
          <w:szCs w:val="30"/>
          <w:lang w:val="en-US" w:eastAsia="zh-CN"/>
        </w:rPr>
      </w:pPr>
    </w:p>
    <w:p>
      <w:pPr>
        <w:pStyle w:val="2"/>
        <w:rPr>
          <w:rFonts w:hint="eastAsia" w:ascii="仿宋_GB2312" w:hAnsi="仿宋_GB2312" w:eastAsia="仿宋_GB2312" w:cs="仿宋_GB2312"/>
          <w:b/>
          <w:bCs/>
          <w:sz w:val="30"/>
          <w:szCs w:val="30"/>
          <w:lang w:val="en-US" w:eastAsia="zh-CN"/>
        </w:rPr>
      </w:pPr>
    </w:p>
    <w:p>
      <w:pPr>
        <w:pStyle w:val="2"/>
        <w:rPr>
          <w:rFonts w:hint="eastAsia" w:ascii="仿宋_GB2312" w:hAnsi="仿宋_GB2312" w:eastAsia="仿宋_GB2312" w:cs="仿宋_GB2312"/>
          <w:b/>
          <w:bCs/>
          <w:sz w:val="30"/>
          <w:szCs w:val="30"/>
          <w:lang w:val="en-US" w:eastAsia="zh-CN"/>
        </w:rPr>
      </w:pPr>
    </w:p>
    <w:p>
      <w:pPr>
        <w:pStyle w:val="2"/>
        <w:rPr>
          <w:rFonts w:hint="eastAsia" w:ascii="仿宋_GB2312" w:hAnsi="仿宋_GB2312" w:eastAsia="仿宋_GB2312" w:cs="仿宋_GB2312"/>
          <w:b/>
          <w:bCs/>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30"/>
          <w:szCs w:val="30"/>
          <w:lang w:val="en-US" w:eastAsia="zh-CN"/>
        </w:rPr>
      </w:pPr>
      <w:bookmarkStart w:id="125" w:name="_Toc20151"/>
    </w:p>
    <w:p>
      <w:pPr>
        <w:keepNext w:val="0"/>
        <w:keepLines w:val="0"/>
        <w:pageBreakBefore w:val="0"/>
        <w:widowControl w:val="0"/>
        <w:kinsoku/>
        <w:wordWrap/>
        <w:overflowPunct/>
        <w:topLinePunct w:val="0"/>
        <w:autoSpaceDE/>
        <w:autoSpaceDN/>
        <w:bidi w:val="0"/>
        <w:adjustRightInd/>
        <w:snapToGrid/>
        <w:spacing w:line="560" w:lineRule="exact"/>
        <w:ind w:left="0" w:leftChars="0" w:firstLine="602" w:firstLineChars="200"/>
        <w:textAlignment w:val="auto"/>
        <w:rPr>
          <w:rFonts w:hint="eastAsia" w:ascii="仿宋_GB2312" w:hAnsi="仿宋_GB2312" w:eastAsia="仿宋_GB2312" w:cs="仿宋_GB2312"/>
          <w:b/>
          <w:bCs/>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02"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6.硅材料产业。</w:t>
      </w:r>
      <w:r>
        <w:rPr>
          <w:rFonts w:hint="eastAsia" w:ascii="仿宋_GB2312" w:hAnsi="仿宋_GB2312" w:eastAsia="仿宋_GB2312" w:cs="仿宋_GB2312"/>
          <w:sz w:val="30"/>
          <w:szCs w:val="30"/>
          <w:lang w:val="en-US" w:eastAsia="zh-CN"/>
        </w:rPr>
        <w:t>以现有硅材料及相关产业为基础，重点发展润阳光伏材料及电池产业科技园，形成从三氯氢硅、单晶硅、硅片、到光伏组件的产业链条。</w:t>
      </w:r>
      <w:bookmarkEnd w:id="125"/>
    </w:p>
    <w:p>
      <w:pPr>
        <w:pStyle w:val="8"/>
        <w:keepNext w:val="0"/>
        <w:keepLines w:val="0"/>
        <w:pageBreakBefore w:val="0"/>
        <w:widowControl w:val="0"/>
        <w:kinsoku/>
        <w:wordWrap/>
        <w:overflowPunct/>
        <w:topLinePunct w:val="0"/>
        <w:autoSpaceDE/>
        <w:autoSpaceDN/>
        <w:bidi w:val="0"/>
        <w:adjustRightInd/>
        <w:snapToGrid/>
        <w:spacing w:before="54" w:after="22" w:line="560" w:lineRule="exact"/>
        <w:ind w:right="57"/>
        <w:jc w:val="center"/>
        <w:textAlignment w:val="auto"/>
        <w:rPr>
          <w:rFonts w:hint="eastAsia"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b/>
          <w:bCs/>
          <w:color w:val="000000" w:themeColor="text1"/>
          <w:sz w:val="30"/>
          <w:szCs w:val="30"/>
          <w14:textFill>
            <w14:solidFill>
              <w14:schemeClr w14:val="tx1"/>
            </w14:solidFill>
          </w14:textFill>
        </w:rPr>
        <w:t>专栏</w:t>
      </w:r>
      <w:r>
        <w:rPr>
          <w:rFonts w:hint="eastAsia" w:cs="仿宋_GB2312"/>
          <w:b/>
          <w:bCs/>
          <w:color w:val="000000" w:themeColor="text1"/>
          <w:sz w:val="30"/>
          <w:szCs w:val="30"/>
          <w:lang w:val="en-US" w:eastAsia="zh-CN"/>
          <w14:textFill>
            <w14:solidFill>
              <w14:schemeClr w14:val="tx1"/>
            </w14:solidFill>
          </w14:textFill>
        </w:rPr>
        <w:t>1-6</w:t>
      </w:r>
      <w:r>
        <w:rPr>
          <w:rFonts w:hint="eastAsia" w:ascii="仿宋_GB2312" w:hAnsi="仿宋_GB2312" w:eastAsia="仿宋_GB2312" w:cs="仿宋_GB2312"/>
          <w:b/>
          <w:bCs/>
          <w:color w:val="000000" w:themeColor="text1"/>
          <w:sz w:val="30"/>
          <w:szCs w:val="30"/>
          <w:lang w:eastAsia="zh-CN"/>
          <w14:textFill>
            <w14:solidFill>
              <w14:schemeClr w14:val="tx1"/>
            </w14:solidFill>
          </w14:textFill>
        </w:rPr>
        <w:t>硅材料产业</w:t>
      </w:r>
    </w:p>
    <w:p>
      <w:pPr>
        <w:pStyle w:val="8"/>
        <w:ind w:left="192"/>
        <w:rPr>
          <w:rFonts w:ascii="黑体"/>
          <w:color w:val="FF0000"/>
          <w:sz w:val="20"/>
        </w:rPr>
      </w:pPr>
      <w:r>
        <w:rPr>
          <w:rFonts w:ascii="黑体" w:hAnsi="仿宋_GB2312" w:eastAsia="仿宋_GB2312" w:cs="仿宋_GB2312"/>
          <w:color w:val="FF0000"/>
          <w:sz w:val="20"/>
          <w:szCs w:val="32"/>
          <w:lang w:val="zh-CN" w:eastAsia="zh-CN" w:bidi="zh-CN"/>
        </w:rPr>
        <mc:AlternateContent>
          <mc:Choice Requires="wps">
            <w:drawing>
              <wp:inline distT="0" distB="0" distL="114300" distR="114300">
                <wp:extent cx="5382895" cy="2702560"/>
                <wp:effectExtent l="4445" t="4445" r="22860" b="17145"/>
                <wp:docPr id="14" name="Quad Arrow 13"/>
                <wp:cNvGraphicFramePr/>
                <a:graphic xmlns:a="http://schemas.openxmlformats.org/drawingml/2006/main">
                  <a:graphicData uri="http://schemas.microsoft.com/office/word/2010/wordprocessingShape">
                    <wps:wsp>
                      <wps:cNvSpPr>
                        <a:spLocks noRot="1"/>
                      </wps:cNvSpPr>
                      <wps:spPr>
                        <a:xfrm>
                          <a:off x="0" y="0"/>
                          <a:ext cx="5382895" cy="2702560"/>
                        </a:xfrm>
                        <a:prstGeom prst="rect">
                          <a:avLst/>
                        </a:prstGeom>
                        <a:noFill/>
                        <a:ln w="6095" cap="flat" cmpd="sng">
                          <a:solidFill>
                            <a:srgbClr val="000000"/>
                          </a:solidFill>
                          <a:prstDash val="solid"/>
                          <a:miter/>
                          <a:headEnd type="none" w="med" len="med"/>
                          <a:tailEnd type="none" w="med" len="med"/>
                        </a:ln>
                      </wps:spPr>
                      <wps:txbx>
                        <w:txbxContent>
                          <w:p>
                            <w:pPr>
                              <w:widowControl w:val="0"/>
                              <w:wordWrap/>
                              <w:autoSpaceDE w:val="0"/>
                              <w:autoSpaceDN w:val="0"/>
                              <w:adjustRightInd/>
                              <w:snapToGrid/>
                              <w:spacing w:before="0" w:after="0" w:line="340" w:lineRule="exact"/>
                              <w:ind w:left="102" w:right="0" w:firstLine="0" w:firstLineChars="0"/>
                              <w:jc w:val="left"/>
                              <w:textAlignment w:val="auto"/>
                              <w:outlineLvl w:val="9"/>
                              <w:rPr>
                                <w:rFonts w:hint="eastAsia" w:ascii="仿宋_GB2312" w:hAnsi="仿宋_GB2312" w:eastAsia="仿宋_GB2312" w:cs="仿宋_GB2312"/>
                                <w:b/>
                                <w:sz w:val="24"/>
                                <w:szCs w:val="24"/>
                              </w:rPr>
                            </w:pP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1065" w:leftChars="48" w:right="0" w:hanging="964" w:hangingChars="400"/>
                              <w:jc w:val="left"/>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主要产品：</w:t>
                            </w:r>
                            <w:r>
                              <w:rPr>
                                <w:rFonts w:hint="eastAsia" w:ascii="仿宋_GB2312" w:hAnsi="仿宋_GB2312" w:eastAsia="仿宋_GB2312" w:cs="仿宋_GB2312"/>
                                <w:b w:val="0"/>
                                <w:bCs/>
                                <w:sz w:val="24"/>
                                <w:szCs w:val="24"/>
                                <w:lang w:eastAsia="zh-CN"/>
                              </w:rPr>
                              <w:t>三氯氢硅、气相白炭黑、硅烷偶联剂、高纯多晶硅、</w:t>
                            </w:r>
                            <w:r>
                              <w:rPr>
                                <w:rFonts w:hint="eastAsia" w:ascii="仿宋_GB2312" w:hAnsi="仿宋_GB2312" w:eastAsia="仿宋_GB2312" w:cs="仿宋_GB2312"/>
                                <w:sz w:val="24"/>
                                <w:szCs w:val="24"/>
                              </w:rPr>
                              <w:t>单/多晶硅电池片板、太阳能电池组件等。</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1067" w:leftChars="49" w:right="0" w:hanging="964" w:hangingChars="400"/>
                              <w:jc w:val="left"/>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产业链：</w:t>
                            </w:r>
                            <w:r>
                              <w:rPr>
                                <w:rFonts w:hint="eastAsia" w:ascii="仿宋_GB2312" w:hAnsi="仿宋_GB2312" w:eastAsia="仿宋_GB2312" w:cs="仿宋_GB2312"/>
                                <w:sz w:val="24"/>
                                <w:szCs w:val="24"/>
                                <w:lang w:eastAsia="zh-CN"/>
                              </w:rPr>
                              <w:t>氯气、金属硅</w:t>
                            </w:r>
                            <w:r>
                              <w:rPr>
                                <w:rFonts w:hint="eastAsia" w:ascii="仿宋_GB2312" w:hAnsi="仿宋_GB2312" w:eastAsia="仿宋_GB2312" w:cs="仿宋_GB2312"/>
                                <w:sz w:val="24"/>
                                <w:szCs w:val="24"/>
                                <w:lang w:val="en-US" w:eastAsia="zh-CN"/>
                              </w:rPr>
                              <w:t>-三氯氢硅、四氯化硅-气相白炭黑、硅烷偶联剂；</w:t>
                            </w:r>
                            <w:r>
                              <w:rPr>
                                <w:rFonts w:hint="eastAsia" w:ascii="仿宋_GB2312" w:hAnsi="仿宋_GB2312" w:eastAsia="仿宋_GB2312" w:cs="仿宋_GB2312"/>
                                <w:sz w:val="24"/>
                                <w:szCs w:val="24"/>
                              </w:rPr>
                              <w:t>硅石—多晶硅料—单/多晶硅棒（锭）—单/多晶硅片—单/多晶硅电池组件等。</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1017" w:leftChars="48" w:right="1458" w:hanging="916" w:hangingChars="400"/>
                              <w:jc w:val="left"/>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b/>
                                <w:w w:val="95"/>
                                <w:sz w:val="24"/>
                                <w:szCs w:val="24"/>
                              </w:rPr>
                              <w:t>对接方向：</w:t>
                            </w:r>
                            <w:r>
                              <w:rPr>
                                <w:rFonts w:hint="eastAsia" w:ascii="仿宋_GB2312" w:hAnsi="仿宋_GB2312" w:eastAsia="仿宋_GB2312" w:cs="仿宋_GB2312"/>
                                <w:w w:val="95"/>
                                <w:sz w:val="24"/>
                                <w:szCs w:val="24"/>
                              </w:rPr>
                              <w:t>中</w:t>
                            </w:r>
                            <w:r>
                              <w:rPr>
                                <w:rFonts w:hint="eastAsia" w:ascii="仿宋_GB2312" w:hAnsi="仿宋_GB2312" w:eastAsia="仿宋_GB2312" w:cs="仿宋_GB2312"/>
                                <w:sz w:val="24"/>
                                <w:szCs w:val="24"/>
                                <w:lang w:eastAsia="zh-CN"/>
                              </w:rPr>
                              <w:t xml:space="preserve">科院过程研究所、江苏润阳等光伏相关领域企业及科研院所。 </w:t>
                            </w:r>
                            <w:r>
                              <w:rPr>
                                <w:rFonts w:hint="eastAsia" w:ascii="仿宋_GB2312" w:hAnsi="仿宋_GB2312" w:eastAsia="仿宋_GB2312" w:cs="仿宋_GB2312"/>
                                <w:w w:val="95"/>
                                <w:sz w:val="24"/>
                                <w:szCs w:val="24"/>
                              </w:rPr>
                              <w:t xml:space="preserve"> </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102" w:right="0" w:firstLine="0" w:firstLineChars="0"/>
                              <w:jc w:val="left"/>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重点企业：</w:t>
                            </w:r>
                            <w:r>
                              <w:rPr>
                                <w:rFonts w:hint="eastAsia" w:ascii="仿宋_GB2312" w:hAnsi="仿宋_GB2312" w:eastAsia="仿宋_GB2312" w:cs="仿宋_GB2312"/>
                                <w:sz w:val="24"/>
                                <w:szCs w:val="24"/>
                              </w:rPr>
                              <w:t>宁夏福泰硅业有限公司</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江苏润阳新能源科技有限公司等。</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1025" w:leftChars="48" w:right="94" w:hanging="924" w:hangingChars="400"/>
                              <w:jc w:val="left"/>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b/>
                                <w:spacing w:val="-5"/>
                                <w:sz w:val="24"/>
                                <w:szCs w:val="24"/>
                              </w:rPr>
                              <w:t>重点项目：</w:t>
                            </w:r>
                            <w:r>
                              <w:rPr>
                                <w:rFonts w:hint="eastAsia" w:ascii="仿宋_GB2312" w:hAnsi="仿宋_GB2312" w:eastAsia="仿宋_GB2312" w:cs="仿宋_GB2312"/>
                                <w:sz w:val="24"/>
                                <w:szCs w:val="24"/>
                              </w:rPr>
                              <w:t>福泰</w:t>
                            </w:r>
                            <w:r>
                              <w:rPr>
                                <w:rFonts w:hint="eastAsia" w:ascii="仿宋_GB2312" w:hAnsi="仿宋_GB2312" w:eastAsia="仿宋_GB2312" w:cs="仿宋_GB2312"/>
                                <w:sz w:val="24"/>
                                <w:szCs w:val="24"/>
                                <w:lang w:eastAsia="zh-CN"/>
                              </w:rPr>
                              <w:t>年产</w:t>
                            </w:r>
                            <w:r>
                              <w:rPr>
                                <w:rFonts w:hint="eastAsia" w:ascii="仿宋_GB2312" w:hAnsi="仿宋_GB2312" w:eastAsia="仿宋_GB2312" w:cs="仿宋_GB2312"/>
                                <w:sz w:val="24"/>
                                <w:szCs w:val="24"/>
                                <w:lang w:val="en-US" w:eastAsia="zh-CN"/>
                              </w:rPr>
                              <w:t>5000吨</w:t>
                            </w:r>
                            <w:r>
                              <w:rPr>
                                <w:rFonts w:hint="eastAsia" w:ascii="仿宋_GB2312" w:hAnsi="仿宋_GB2312" w:eastAsia="仿宋_GB2312" w:cs="仿宋_GB2312"/>
                                <w:sz w:val="24"/>
                                <w:szCs w:val="24"/>
                              </w:rPr>
                              <w:t>纳米二氧化硅</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pacing w:val="-4"/>
                                <w:sz w:val="24"/>
                                <w:szCs w:val="24"/>
                              </w:rPr>
                              <w:t>宁夏润阳光伏材料及电池产业科技园</w:t>
                            </w:r>
                            <w:r>
                              <w:rPr>
                                <w:rFonts w:hint="eastAsia" w:ascii="仿宋_GB2312" w:hAnsi="仿宋_GB2312" w:eastAsia="仿宋_GB2312" w:cs="仿宋_GB2312"/>
                                <w:sz w:val="24"/>
                                <w:szCs w:val="24"/>
                              </w:rPr>
                              <w:t>。</w:t>
                            </w:r>
                          </w:p>
                        </w:txbxContent>
                      </wps:txbx>
                      <wps:bodyPr lIns="0" tIns="0" rIns="0" bIns="0" upright="1"/>
                    </wps:wsp>
                  </a:graphicData>
                </a:graphic>
              </wp:inline>
            </w:drawing>
          </mc:Choice>
          <mc:Fallback>
            <w:pict>
              <v:rect id="Quad Arrow 13" o:spid="_x0000_s1026" o:spt="1" style="height:212.8pt;width:423.85pt;" filled="f" stroked="t" coordsize="21600,21600" o:gfxdata="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IUwoLXAAAABQEAAA8AAAAAAAAAAQAgAAAAIgAAAGRycy9kb3ducmV2LnhtbFBL&#10;AQIUABQAAAAIAIdO4kDJpk1I9wEAAAAEAAAOAAAAAAAAAAEAIAAAACYBAABkcnMvZTJvRG9jLnht&#10;bFBLBQYAAAAABgAGAFkBAACPBQAAAAA=&#10;">
                <v:fill on="f" focussize="0,0"/>
                <v:stroke weight="0.47992125984252pt" color="#000000" joinstyle="miter"/>
                <v:imagedata o:title=""/>
                <o:lock v:ext="edit" rotation="t" aspectratio="f"/>
                <v:textbox inset="0mm,0mm,0mm,0mm">
                  <w:txbxContent>
                    <w:p>
                      <w:pPr>
                        <w:widowControl w:val="0"/>
                        <w:wordWrap/>
                        <w:autoSpaceDE w:val="0"/>
                        <w:autoSpaceDN w:val="0"/>
                        <w:adjustRightInd/>
                        <w:snapToGrid/>
                        <w:spacing w:before="0" w:after="0" w:line="340" w:lineRule="exact"/>
                        <w:ind w:left="102" w:right="0" w:firstLine="0" w:firstLineChars="0"/>
                        <w:jc w:val="left"/>
                        <w:textAlignment w:val="auto"/>
                        <w:outlineLvl w:val="9"/>
                        <w:rPr>
                          <w:rFonts w:hint="eastAsia" w:ascii="仿宋_GB2312" w:hAnsi="仿宋_GB2312" w:eastAsia="仿宋_GB2312" w:cs="仿宋_GB2312"/>
                          <w:b/>
                          <w:sz w:val="24"/>
                          <w:szCs w:val="24"/>
                        </w:rPr>
                      </w:pP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1065" w:leftChars="48" w:right="0" w:hanging="964" w:hangingChars="400"/>
                        <w:jc w:val="left"/>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主要产品：</w:t>
                      </w:r>
                      <w:r>
                        <w:rPr>
                          <w:rFonts w:hint="eastAsia" w:ascii="仿宋_GB2312" w:hAnsi="仿宋_GB2312" w:eastAsia="仿宋_GB2312" w:cs="仿宋_GB2312"/>
                          <w:b w:val="0"/>
                          <w:bCs/>
                          <w:sz w:val="24"/>
                          <w:szCs w:val="24"/>
                          <w:lang w:eastAsia="zh-CN"/>
                        </w:rPr>
                        <w:t>三氯氢硅、气相白炭黑、硅烷偶联剂、高纯多晶硅、</w:t>
                      </w:r>
                      <w:r>
                        <w:rPr>
                          <w:rFonts w:hint="eastAsia" w:ascii="仿宋_GB2312" w:hAnsi="仿宋_GB2312" w:eastAsia="仿宋_GB2312" w:cs="仿宋_GB2312"/>
                          <w:sz w:val="24"/>
                          <w:szCs w:val="24"/>
                        </w:rPr>
                        <w:t>单/多晶硅电池片板、太阳能电池组件等。</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1067" w:leftChars="49" w:right="0" w:hanging="964" w:hangingChars="400"/>
                        <w:jc w:val="left"/>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产业链：</w:t>
                      </w:r>
                      <w:r>
                        <w:rPr>
                          <w:rFonts w:hint="eastAsia" w:ascii="仿宋_GB2312" w:hAnsi="仿宋_GB2312" w:eastAsia="仿宋_GB2312" w:cs="仿宋_GB2312"/>
                          <w:sz w:val="24"/>
                          <w:szCs w:val="24"/>
                          <w:lang w:eastAsia="zh-CN"/>
                        </w:rPr>
                        <w:t>氯气、金属硅</w:t>
                      </w:r>
                      <w:r>
                        <w:rPr>
                          <w:rFonts w:hint="eastAsia" w:ascii="仿宋_GB2312" w:hAnsi="仿宋_GB2312" w:eastAsia="仿宋_GB2312" w:cs="仿宋_GB2312"/>
                          <w:sz w:val="24"/>
                          <w:szCs w:val="24"/>
                          <w:lang w:val="en-US" w:eastAsia="zh-CN"/>
                        </w:rPr>
                        <w:t>-三氯氢硅、四氯化硅-气相白炭黑、硅烷偶联剂；</w:t>
                      </w:r>
                      <w:r>
                        <w:rPr>
                          <w:rFonts w:hint="eastAsia" w:ascii="仿宋_GB2312" w:hAnsi="仿宋_GB2312" w:eastAsia="仿宋_GB2312" w:cs="仿宋_GB2312"/>
                          <w:sz w:val="24"/>
                          <w:szCs w:val="24"/>
                        </w:rPr>
                        <w:t>硅石—多晶硅料—单/多晶硅棒（锭）—单/多晶硅片—单/多晶硅电池组件等。</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1017" w:leftChars="48" w:right="1458" w:hanging="916" w:hangingChars="400"/>
                        <w:jc w:val="left"/>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b/>
                          <w:w w:val="95"/>
                          <w:sz w:val="24"/>
                          <w:szCs w:val="24"/>
                        </w:rPr>
                        <w:t>对接方向：</w:t>
                      </w:r>
                      <w:r>
                        <w:rPr>
                          <w:rFonts w:hint="eastAsia" w:ascii="仿宋_GB2312" w:hAnsi="仿宋_GB2312" w:eastAsia="仿宋_GB2312" w:cs="仿宋_GB2312"/>
                          <w:w w:val="95"/>
                          <w:sz w:val="24"/>
                          <w:szCs w:val="24"/>
                        </w:rPr>
                        <w:t>中</w:t>
                      </w:r>
                      <w:r>
                        <w:rPr>
                          <w:rFonts w:hint="eastAsia" w:ascii="仿宋_GB2312" w:hAnsi="仿宋_GB2312" w:eastAsia="仿宋_GB2312" w:cs="仿宋_GB2312"/>
                          <w:sz w:val="24"/>
                          <w:szCs w:val="24"/>
                          <w:lang w:eastAsia="zh-CN"/>
                        </w:rPr>
                        <w:t xml:space="preserve">科院过程研究所、江苏润阳等光伏相关领域企业及科研院所。 </w:t>
                      </w:r>
                      <w:r>
                        <w:rPr>
                          <w:rFonts w:hint="eastAsia" w:ascii="仿宋_GB2312" w:hAnsi="仿宋_GB2312" w:eastAsia="仿宋_GB2312" w:cs="仿宋_GB2312"/>
                          <w:w w:val="95"/>
                          <w:sz w:val="24"/>
                          <w:szCs w:val="24"/>
                        </w:rPr>
                        <w:t xml:space="preserve"> </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102" w:right="0" w:firstLine="0" w:firstLineChars="0"/>
                        <w:jc w:val="left"/>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重点企业：</w:t>
                      </w:r>
                      <w:r>
                        <w:rPr>
                          <w:rFonts w:hint="eastAsia" w:ascii="仿宋_GB2312" w:hAnsi="仿宋_GB2312" w:eastAsia="仿宋_GB2312" w:cs="仿宋_GB2312"/>
                          <w:sz w:val="24"/>
                          <w:szCs w:val="24"/>
                        </w:rPr>
                        <w:t>宁夏福泰硅业有限公司</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江苏润阳新能源科技有限公司等。</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1025" w:leftChars="48" w:right="94" w:hanging="924" w:hangingChars="400"/>
                        <w:jc w:val="left"/>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b/>
                          <w:spacing w:val="-5"/>
                          <w:sz w:val="24"/>
                          <w:szCs w:val="24"/>
                        </w:rPr>
                        <w:t>重点项目：</w:t>
                      </w:r>
                      <w:r>
                        <w:rPr>
                          <w:rFonts w:hint="eastAsia" w:ascii="仿宋_GB2312" w:hAnsi="仿宋_GB2312" w:eastAsia="仿宋_GB2312" w:cs="仿宋_GB2312"/>
                          <w:sz w:val="24"/>
                          <w:szCs w:val="24"/>
                        </w:rPr>
                        <w:t>福泰</w:t>
                      </w:r>
                      <w:r>
                        <w:rPr>
                          <w:rFonts w:hint="eastAsia" w:ascii="仿宋_GB2312" w:hAnsi="仿宋_GB2312" w:eastAsia="仿宋_GB2312" w:cs="仿宋_GB2312"/>
                          <w:sz w:val="24"/>
                          <w:szCs w:val="24"/>
                          <w:lang w:eastAsia="zh-CN"/>
                        </w:rPr>
                        <w:t>年产</w:t>
                      </w:r>
                      <w:r>
                        <w:rPr>
                          <w:rFonts w:hint="eastAsia" w:ascii="仿宋_GB2312" w:hAnsi="仿宋_GB2312" w:eastAsia="仿宋_GB2312" w:cs="仿宋_GB2312"/>
                          <w:sz w:val="24"/>
                          <w:szCs w:val="24"/>
                          <w:lang w:val="en-US" w:eastAsia="zh-CN"/>
                        </w:rPr>
                        <w:t>5000吨</w:t>
                      </w:r>
                      <w:r>
                        <w:rPr>
                          <w:rFonts w:hint="eastAsia" w:ascii="仿宋_GB2312" w:hAnsi="仿宋_GB2312" w:eastAsia="仿宋_GB2312" w:cs="仿宋_GB2312"/>
                          <w:sz w:val="24"/>
                          <w:szCs w:val="24"/>
                        </w:rPr>
                        <w:t>纳米二氧化硅</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pacing w:val="-4"/>
                          <w:sz w:val="24"/>
                          <w:szCs w:val="24"/>
                        </w:rPr>
                        <w:t>宁夏润阳光伏材料及电池产业科技园</w:t>
                      </w:r>
                      <w:r>
                        <w:rPr>
                          <w:rFonts w:hint="eastAsia" w:ascii="仿宋_GB2312" w:hAnsi="仿宋_GB2312" w:eastAsia="仿宋_GB2312" w:cs="仿宋_GB2312"/>
                          <w:sz w:val="24"/>
                          <w:szCs w:val="24"/>
                        </w:rPr>
                        <w:t>。</w:t>
                      </w:r>
                    </w:p>
                  </w:txbxContent>
                </v:textbox>
                <w10:wrap type="none"/>
                <w10:anchorlock/>
              </v:rect>
            </w:pict>
          </mc:Fallback>
        </mc:AlternateConten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sz w:val="30"/>
          <w:szCs w:val="30"/>
          <w:lang w:val="zh-CN" w:eastAsia="zh-CN"/>
        </w:rPr>
      </w:pPr>
      <w:bookmarkStart w:id="126" w:name="5.绿色食品。"/>
      <w:bookmarkEnd w:id="126"/>
      <w:bookmarkStart w:id="127" w:name="4.清洁能源。"/>
      <w:bookmarkEnd w:id="127"/>
      <w:bookmarkStart w:id="128" w:name="发展目标：到2023年，清洁能源产值达到150亿元。"/>
      <w:bookmarkEnd w:id="128"/>
      <w:r>
        <w:rPr>
          <w:rFonts w:hint="eastAsia" w:ascii="仿宋_GB2312" w:hAnsi="仿宋_GB2312" w:eastAsia="仿宋_GB2312" w:cs="仿宋_GB2312"/>
          <w:b w:val="0"/>
          <w:bCs w:val="0"/>
          <w:color w:val="FF0000"/>
          <w:spacing w:val="-13"/>
          <w:sz w:val="32"/>
          <w:szCs w:val="22"/>
          <w:lang w:val="en-US" w:eastAsia="zh-CN" w:bidi="zh-CN"/>
        </w:rPr>
        <w:t xml:space="preserve"> </w:t>
      </w:r>
      <w:bookmarkStart w:id="129" w:name="_Toc5633"/>
      <w:r>
        <w:rPr>
          <w:rFonts w:hint="eastAsia" w:ascii="仿宋_GB2312" w:hAnsi="仿宋_GB2312" w:eastAsia="仿宋_GB2312" w:cs="仿宋_GB2312"/>
          <w:b w:val="0"/>
          <w:bCs w:val="0"/>
          <w:color w:val="FF0000"/>
          <w:spacing w:val="-13"/>
          <w:sz w:val="32"/>
          <w:szCs w:val="22"/>
          <w:lang w:val="en-US" w:eastAsia="zh-CN" w:bidi="zh-CN"/>
        </w:rPr>
        <w:t xml:space="preserve">  </w:t>
      </w:r>
      <w:r>
        <w:rPr>
          <w:rFonts w:hint="eastAsia" w:ascii="仿宋_GB2312" w:hAnsi="仿宋_GB2312" w:eastAsia="仿宋_GB2312" w:cs="仿宋_GB2312"/>
          <w:b/>
          <w:bCs/>
          <w:color w:val="FF0000"/>
          <w:spacing w:val="-13"/>
          <w:sz w:val="32"/>
          <w:szCs w:val="22"/>
          <w:lang w:val="en-US" w:eastAsia="zh-CN" w:bidi="zh-CN"/>
        </w:rPr>
        <w:t xml:space="preserve"> </w:t>
      </w:r>
      <w:r>
        <w:rPr>
          <w:rFonts w:hint="eastAsia" w:ascii="仿宋_GB2312" w:hAnsi="仿宋_GB2312" w:eastAsia="仿宋_GB2312" w:cs="仿宋_GB2312"/>
          <w:b/>
          <w:bCs/>
          <w:sz w:val="30"/>
          <w:szCs w:val="30"/>
          <w:lang w:val="en-US" w:eastAsia="zh-CN"/>
        </w:rPr>
        <w:t>7.</w:t>
      </w:r>
      <w:r>
        <w:rPr>
          <w:rFonts w:hint="eastAsia" w:ascii="仿宋_GB2312" w:hAnsi="仿宋_GB2312" w:eastAsia="仿宋_GB2312" w:cs="仿宋_GB2312"/>
          <w:b/>
          <w:bCs/>
          <w:sz w:val="30"/>
          <w:szCs w:val="30"/>
          <w:lang w:val="zh-CN" w:eastAsia="zh-CN"/>
        </w:rPr>
        <w:t>乙醇新能源产业。</w:t>
      </w:r>
      <w:r>
        <w:rPr>
          <w:rFonts w:hint="eastAsia" w:ascii="仿宋_GB2312" w:hAnsi="仿宋_GB2312" w:eastAsia="仿宋_GB2312" w:cs="仿宋_GB2312"/>
          <w:b w:val="0"/>
          <w:bCs w:val="0"/>
          <w:sz w:val="30"/>
          <w:szCs w:val="30"/>
          <w:lang w:val="zh-CN" w:eastAsia="zh-CN"/>
        </w:rPr>
        <w:t>依托首朗吉元</w:t>
      </w:r>
      <w:r>
        <w:rPr>
          <w:rFonts w:hint="eastAsia" w:ascii="仿宋_GB2312" w:hAnsi="仿宋_GB2312" w:eastAsia="仿宋_GB2312" w:cs="仿宋_GB2312"/>
          <w:b w:val="0"/>
          <w:bCs w:val="0"/>
          <w:sz w:val="30"/>
          <w:szCs w:val="30"/>
          <w:lang w:val="en-US" w:eastAsia="zh-CN"/>
        </w:rPr>
        <w:t>燃料乙醇、</w:t>
      </w:r>
      <w:r>
        <w:rPr>
          <w:rFonts w:hint="eastAsia" w:ascii="仿宋_GB2312" w:hAnsi="仿宋_GB2312" w:eastAsia="仿宋_GB2312" w:cs="仿宋_GB2312"/>
          <w:b w:val="0"/>
          <w:bCs w:val="0"/>
          <w:sz w:val="30"/>
          <w:szCs w:val="30"/>
          <w:lang w:val="zh-CN" w:eastAsia="zh-CN"/>
        </w:rPr>
        <w:t>滨泽新能源、滨河永泰等企业，加快完善电石、冶金等矿热炉尾气制备乙醇的工艺技术， 形成年产 30 万吨燃料乙醇产业集群。</w:t>
      </w:r>
      <w:bookmarkEnd w:id="129"/>
    </w:p>
    <w:p>
      <w:pPr>
        <w:pStyle w:val="8"/>
        <w:keepNext w:val="0"/>
        <w:keepLines w:val="0"/>
        <w:pageBreakBefore w:val="0"/>
        <w:widowControl w:val="0"/>
        <w:tabs>
          <w:tab w:val="left" w:pos="1360"/>
        </w:tabs>
        <w:kinsoku/>
        <w:wordWrap/>
        <w:overflowPunct/>
        <w:topLinePunct w:val="0"/>
        <w:autoSpaceDE/>
        <w:autoSpaceDN/>
        <w:bidi w:val="0"/>
        <w:adjustRightInd/>
        <w:snapToGrid/>
        <w:spacing w:before="150" w:after="22" w:line="560" w:lineRule="exact"/>
        <w:ind w:right="59"/>
        <w:jc w:val="center"/>
        <w:textAlignment w:val="auto"/>
        <w:rPr>
          <w:rFonts w:hint="eastAsia" w:ascii="仿宋_GB2312" w:hAnsi="仿宋_GB2312" w:eastAsia="仿宋_GB2312" w:cs="仿宋_GB2312"/>
          <w:b/>
          <w:bCs/>
          <w:color w:val="000000" w:themeColor="text1"/>
          <w:sz w:val="30"/>
          <w:szCs w:val="30"/>
          <w14:textFill>
            <w14:solidFill>
              <w14:schemeClr w14:val="tx1"/>
            </w14:solidFill>
          </w14:textFill>
        </w:rPr>
      </w:pPr>
      <w:r>
        <w:rPr>
          <w:rFonts w:hint="eastAsia" w:ascii="仿宋_GB2312" w:hAnsi="仿宋_GB2312" w:eastAsia="仿宋_GB2312" w:cs="仿宋_GB2312"/>
          <w:b/>
          <w:bCs/>
          <w:color w:val="000000" w:themeColor="text1"/>
          <w:sz w:val="30"/>
          <w:szCs w:val="30"/>
          <w14:textFill>
            <w14:solidFill>
              <w14:schemeClr w14:val="tx1"/>
            </w14:solidFill>
          </w14:textFill>
        </w:rPr>
        <w:t>专栏</w:t>
      </w:r>
      <w:r>
        <w:rPr>
          <w:rFonts w:hint="eastAsia" w:cs="仿宋_GB2312"/>
          <w:b/>
          <w:bCs/>
          <w:color w:val="000000" w:themeColor="text1"/>
          <w:sz w:val="30"/>
          <w:szCs w:val="30"/>
          <w:lang w:val="en-US" w:eastAsia="zh-CN"/>
          <w14:textFill>
            <w14:solidFill>
              <w14:schemeClr w14:val="tx1"/>
            </w14:solidFill>
          </w14:textFill>
        </w:rPr>
        <w:t>1-7</w:t>
      </w:r>
      <w:r>
        <w:rPr>
          <w:rFonts w:hint="eastAsia" w:ascii="仿宋_GB2312" w:hAnsi="仿宋_GB2312" w:eastAsia="仿宋_GB2312" w:cs="仿宋_GB2312"/>
          <w:b/>
          <w:bCs/>
          <w:color w:val="000000" w:themeColor="text1"/>
          <w:sz w:val="30"/>
          <w:szCs w:val="30"/>
          <w:lang w:eastAsia="zh-CN"/>
          <w14:textFill>
            <w14:solidFill>
              <w14:schemeClr w14:val="tx1"/>
            </w14:solidFill>
          </w14:textFill>
        </w:rPr>
        <w:t>燃料乙醇产业</w:t>
      </w:r>
    </w:p>
    <w:p>
      <w:pPr>
        <w:pStyle w:val="8"/>
        <w:ind w:left="206"/>
        <w:rPr>
          <w:rFonts w:ascii="黑体"/>
          <w:color w:val="FF0000"/>
          <w:sz w:val="20"/>
        </w:rPr>
      </w:pPr>
      <w:r>
        <w:rPr>
          <w:rFonts w:ascii="黑体" w:hAnsi="仿宋_GB2312" w:eastAsia="仿宋_GB2312" w:cs="仿宋_GB2312"/>
          <w:color w:val="FF0000"/>
          <w:sz w:val="20"/>
          <w:szCs w:val="32"/>
          <w:lang w:val="zh-CN" w:eastAsia="zh-CN" w:bidi="zh-CN"/>
        </w:rPr>
        <mc:AlternateContent>
          <mc:Choice Requires="wps">
            <w:drawing>
              <wp:inline distT="0" distB="0" distL="114300" distR="114300">
                <wp:extent cx="5434965" cy="2642235"/>
                <wp:effectExtent l="4445" t="4445" r="8890" b="20320"/>
                <wp:docPr id="15" name="Quad Arrow 18"/>
                <wp:cNvGraphicFramePr/>
                <a:graphic xmlns:a="http://schemas.openxmlformats.org/drawingml/2006/main">
                  <a:graphicData uri="http://schemas.microsoft.com/office/word/2010/wordprocessingShape">
                    <wps:wsp>
                      <wps:cNvSpPr>
                        <a:spLocks noRot="1"/>
                      </wps:cNvSpPr>
                      <wps:spPr>
                        <a:xfrm>
                          <a:off x="0" y="0"/>
                          <a:ext cx="5434965" cy="2642235"/>
                        </a:xfrm>
                        <a:prstGeom prst="rect">
                          <a:avLst/>
                        </a:prstGeom>
                        <a:noFill/>
                        <a:ln w="6095" cap="flat" cmpd="sng">
                          <a:solidFill>
                            <a:srgbClr val="000000"/>
                          </a:solidFill>
                          <a:prstDash val="solid"/>
                          <a:miter/>
                          <a:headEnd type="none" w="med" len="med"/>
                          <a:tailEnd type="none" w="med" len="med"/>
                        </a:ln>
                      </wps:spPr>
                      <wps:txbx>
                        <w:txbxContent>
                          <w:p>
                            <w:pPr>
                              <w:widowControl w:val="0"/>
                              <w:wordWrap/>
                              <w:autoSpaceDE w:val="0"/>
                              <w:autoSpaceDN w:val="0"/>
                              <w:adjustRightInd/>
                              <w:snapToGrid/>
                              <w:spacing w:before="0" w:after="0" w:line="260" w:lineRule="exact"/>
                              <w:ind w:left="0" w:leftChars="0" w:right="-15" w:firstLine="0" w:firstLineChars="0"/>
                              <w:jc w:val="left"/>
                              <w:textAlignment w:val="auto"/>
                              <w:outlineLvl w:val="9"/>
                              <w:rPr>
                                <w:rFonts w:hint="eastAsia" w:ascii="Microsoft JhengHei" w:eastAsia="Microsoft JhengHei"/>
                                <w:b/>
                                <w:spacing w:val="-3"/>
                                <w:sz w:val="21"/>
                              </w:rPr>
                            </w:pP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15" w:firstLine="0" w:firstLineChars="0"/>
                              <w:jc w:val="left"/>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b/>
                                <w:spacing w:val="-3"/>
                                <w:sz w:val="24"/>
                                <w:szCs w:val="24"/>
                              </w:rPr>
                              <w:t>主要产品：</w:t>
                            </w:r>
                            <w:r>
                              <w:rPr>
                                <w:rFonts w:hint="eastAsia" w:ascii="仿宋_GB2312" w:hAnsi="仿宋_GB2312" w:eastAsia="仿宋_GB2312" w:cs="仿宋_GB2312"/>
                                <w:spacing w:val="-9"/>
                                <w:sz w:val="24"/>
                                <w:szCs w:val="24"/>
                                <w:lang w:eastAsia="zh-CN"/>
                              </w:rPr>
                              <w:t>燃料乙醇、蛋白粉、天然气等。</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964" w:leftChars="0" w:right="98" w:hanging="964" w:hangingChars="400"/>
                              <w:jc w:val="left"/>
                              <w:textAlignment w:val="auto"/>
                              <w:outlineLvl w:val="9"/>
                              <w:rPr>
                                <w:rFonts w:hint="eastAsia" w:ascii="仿宋_GB2312" w:hAnsi="仿宋_GB2312" w:eastAsia="仿宋_GB2312" w:cs="仿宋_GB2312"/>
                                <w:b w:val="0"/>
                                <w:bCs/>
                                <w:sz w:val="24"/>
                                <w:szCs w:val="24"/>
                              </w:rPr>
                            </w:pPr>
                            <w:r>
                              <w:rPr>
                                <w:rFonts w:hint="eastAsia" w:ascii="仿宋_GB2312" w:hAnsi="仿宋_GB2312" w:eastAsia="仿宋_GB2312" w:cs="仿宋_GB2312"/>
                                <w:b/>
                                <w:sz w:val="24"/>
                                <w:szCs w:val="24"/>
                              </w:rPr>
                              <w:t>产业链：</w:t>
                            </w:r>
                            <w:r>
                              <w:rPr>
                                <w:rFonts w:hint="eastAsia" w:ascii="仿宋_GB2312" w:hAnsi="仿宋_GB2312" w:eastAsia="仿宋_GB2312" w:cs="仿宋_GB2312"/>
                                <w:b w:val="0"/>
                                <w:bCs/>
                                <w:sz w:val="24"/>
                                <w:szCs w:val="24"/>
                                <w:lang w:eastAsia="zh-CN"/>
                              </w:rPr>
                              <w:t>以矿热炉尾气为原料，通过全球领先的生物发酵技术直接转化为燃料乙醇、蛋白饲料、天然气等高附加值产品，实现工业尾气资源的高效清洁利用</w:t>
                            </w:r>
                            <w:r>
                              <w:rPr>
                                <w:rFonts w:hint="eastAsia" w:ascii="仿宋_GB2312" w:hAnsi="仿宋_GB2312" w:eastAsia="仿宋_GB2312" w:cs="仿宋_GB2312"/>
                                <w:b w:val="0"/>
                                <w:bCs/>
                                <w:sz w:val="24"/>
                                <w:szCs w:val="24"/>
                              </w:rPr>
                              <w:t>。</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left"/>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对接方向：</w:t>
                            </w:r>
                            <w:r>
                              <w:rPr>
                                <w:rFonts w:hint="eastAsia" w:ascii="仿宋_GB2312" w:hAnsi="仿宋_GB2312" w:eastAsia="仿宋_GB2312" w:cs="仿宋_GB2312"/>
                                <w:sz w:val="24"/>
                                <w:szCs w:val="24"/>
                                <w:lang w:eastAsia="zh-CN"/>
                              </w:rPr>
                              <w:t>首钢朗泽集团、南京工业大学</w:t>
                            </w:r>
                            <w:r>
                              <w:rPr>
                                <w:rFonts w:hint="eastAsia" w:ascii="仿宋_GB2312" w:hAnsi="仿宋_GB2312" w:eastAsia="仿宋_GB2312" w:cs="仿宋_GB2312"/>
                                <w:sz w:val="24"/>
                                <w:szCs w:val="24"/>
                              </w:rPr>
                              <w:t>。</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left"/>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重点企业：</w:t>
                            </w:r>
                            <w:r>
                              <w:rPr>
                                <w:rFonts w:hint="eastAsia" w:ascii="仿宋_GB2312" w:hAnsi="仿宋_GB2312" w:eastAsia="仿宋_GB2312" w:cs="仿宋_GB2312"/>
                                <w:sz w:val="24"/>
                                <w:szCs w:val="24"/>
                              </w:rPr>
                              <w:t>宁夏首朗吉元新能源科技有限公司</w:t>
                            </w:r>
                            <w:r>
                              <w:rPr>
                                <w:rFonts w:hint="eastAsia" w:ascii="仿宋_GB2312" w:hAnsi="仿宋_GB2312" w:eastAsia="仿宋_GB2312" w:cs="仿宋_GB2312"/>
                                <w:sz w:val="24"/>
                                <w:szCs w:val="24"/>
                                <w:lang w:eastAsia="zh-CN"/>
                              </w:rPr>
                              <w:t>、宁夏滨泽新能源科技有限公司</w:t>
                            </w:r>
                            <w:r>
                              <w:rPr>
                                <w:rFonts w:hint="eastAsia" w:ascii="仿宋_GB2312" w:hAnsi="仿宋_GB2312" w:eastAsia="仿宋_GB2312" w:cs="仿宋_GB2312"/>
                                <w:sz w:val="24"/>
                                <w:szCs w:val="24"/>
                              </w:rPr>
                              <w:t>等。</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964" w:leftChars="0" w:right="95" w:hanging="964" w:hangingChars="40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重点项目：</w:t>
                            </w:r>
                            <w:r>
                              <w:rPr>
                                <w:rFonts w:hint="eastAsia" w:ascii="仿宋_GB2312" w:hAnsi="仿宋_GB2312" w:eastAsia="仿宋_GB2312" w:cs="仿宋_GB2312"/>
                                <w:b w:val="0"/>
                                <w:bCs/>
                                <w:sz w:val="24"/>
                                <w:szCs w:val="24"/>
                                <w:lang w:eastAsia="zh-CN"/>
                              </w:rPr>
                              <w:t>首朗吉元年产</w:t>
                            </w:r>
                            <w:r>
                              <w:rPr>
                                <w:rFonts w:hint="eastAsia" w:ascii="仿宋_GB2312" w:hAnsi="仿宋_GB2312" w:eastAsia="仿宋_GB2312" w:cs="仿宋_GB2312"/>
                                <w:b w:val="0"/>
                                <w:bCs/>
                                <w:sz w:val="24"/>
                                <w:szCs w:val="24"/>
                                <w:lang w:val="en-US" w:eastAsia="zh-CN"/>
                              </w:rPr>
                              <w:t>4.5万吨工业尾气生物发酵法制燃料乙醇、</w:t>
                            </w:r>
                            <w:r>
                              <w:rPr>
                                <w:rFonts w:hint="eastAsia" w:ascii="仿宋_GB2312" w:hAnsi="仿宋_GB2312" w:eastAsia="仿宋_GB2312" w:cs="仿宋_GB2312"/>
                                <w:sz w:val="24"/>
                                <w:szCs w:val="24"/>
                                <w:lang w:eastAsia="zh-CN"/>
                              </w:rPr>
                              <w:t>滨泽年产6万吨工业尾气生物发酵法制燃料乙醇等项目</w:t>
                            </w:r>
                            <w:r>
                              <w:rPr>
                                <w:rFonts w:hint="eastAsia" w:ascii="仿宋_GB2312" w:hAnsi="仿宋_GB2312" w:eastAsia="仿宋_GB2312" w:cs="仿宋_GB2312"/>
                                <w:sz w:val="24"/>
                                <w:szCs w:val="24"/>
                              </w:rPr>
                              <w:t>。</w:t>
                            </w:r>
                          </w:p>
                        </w:txbxContent>
                      </wps:txbx>
                      <wps:bodyPr lIns="0" tIns="0" rIns="0" bIns="0" upright="1"/>
                    </wps:wsp>
                  </a:graphicData>
                </a:graphic>
              </wp:inline>
            </w:drawing>
          </mc:Choice>
          <mc:Fallback>
            <w:pict>
              <v:rect id="Quad Arrow 18" o:spid="_x0000_s1026" o:spt="1" style="height:208.05pt;width:427.95pt;" filled="f" stroked="t" coordsize="21600,21600" o:gfxdata="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bnN+7WAAAABQEAAA8AAAAAAAAAAQAgAAAAIgAAAGRycy9kb3ducmV2LnhtbFBLAQIU&#10;ABQAAAAIAIdO4kDZ9X2W9QEAAAAEAAAOAAAAAAAAAAEAIAAAACUBAABkcnMvZTJvRG9jLnhtbFBL&#10;BQYAAAAABgAGAFkBAACMBQAAAAA=&#10;">
                <v:fill on="f" focussize="0,0"/>
                <v:stroke weight="0.47992125984252pt" color="#000000" joinstyle="miter"/>
                <v:imagedata o:title=""/>
                <o:lock v:ext="edit" rotation="t" aspectratio="f"/>
                <v:textbox inset="0mm,0mm,0mm,0mm">
                  <w:txbxContent>
                    <w:p>
                      <w:pPr>
                        <w:widowControl w:val="0"/>
                        <w:wordWrap/>
                        <w:autoSpaceDE w:val="0"/>
                        <w:autoSpaceDN w:val="0"/>
                        <w:adjustRightInd/>
                        <w:snapToGrid/>
                        <w:spacing w:before="0" w:after="0" w:line="260" w:lineRule="exact"/>
                        <w:ind w:left="0" w:leftChars="0" w:right="-15" w:firstLine="0" w:firstLineChars="0"/>
                        <w:jc w:val="left"/>
                        <w:textAlignment w:val="auto"/>
                        <w:outlineLvl w:val="9"/>
                        <w:rPr>
                          <w:rFonts w:hint="eastAsia" w:ascii="Microsoft JhengHei" w:eastAsia="Microsoft JhengHei"/>
                          <w:b/>
                          <w:spacing w:val="-3"/>
                          <w:sz w:val="21"/>
                        </w:rPr>
                      </w:pP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15" w:firstLine="0" w:firstLineChars="0"/>
                        <w:jc w:val="left"/>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b/>
                          <w:spacing w:val="-3"/>
                          <w:sz w:val="24"/>
                          <w:szCs w:val="24"/>
                        </w:rPr>
                        <w:t>主要产品：</w:t>
                      </w:r>
                      <w:r>
                        <w:rPr>
                          <w:rFonts w:hint="eastAsia" w:ascii="仿宋_GB2312" w:hAnsi="仿宋_GB2312" w:eastAsia="仿宋_GB2312" w:cs="仿宋_GB2312"/>
                          <w:spacing w:val="-9"/>
                          <w:sz w:val="24"/>
                          <w:szCs w:val="24"/>
                          <w:lang w:eastAsia="zh-CN"/>
                        </w:rPr>
                        <w:t>燃料乙醇、蛋白粉、天然气等。</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964" w:leftChars="0" w:right="98" w:hanging="964" w:hangingChars="400"/>
                        <w:jc w:val="left"/>
                        <w:textAlignment w:val="auto"/>
                        <w:outlineLvl w:val="9"/>
                        <w:rPr>
                          <w:rFonts w:hint="eastAsia" w:ascii="仿宋_GB2312" w:hAnsi="仿宋_GB2312" w:eastAsia="仿宋_GB2312" w:cs="仿宋_GB2312"/>
                          <w:b w:val="0"/>
                          <w:bCs/>
                          <w:sz w:val="24"/>
                          <w:szCs w:val="24"/>
                        </w:rPr>
                      </w:pPr>
                      <w:r>
                        <w:rPr>
                          <w:rFonts w:hint="eastAsia" w:ascii="仿宋_GB2312" w:hAnsi="仿宋_GB2312" w:eastAsia="仿宋_GB2312" w:cs="仿宋_GB2312"/>
                          <w:b/>
                          <w:sz w:val="24"/>
                          <w:szCs w:val="24"/>
                        </w:rPr>
                        <w:t>产业链：</w:t>
                      </w:r>
                      <w:r>
                        <w:rPr>
                          <w:rFonts w:hint="eastAsia" w:ascii="仿宋_GB2312" w:hAnsi="仿宋_GB2312" w:eastAsia="仿宋_GB2312" w:cs="仿宋_GB2312"/>
                          <w:b w:val="0"/>
                          <w:bCs/>
                          <w:sz w:val="24"/>
                          <w:szCs w:val="24"/>
                          <w:lang w:eastAsia="zh-CN"/>
                        </w:rPr>
                        <w:t>以矿热炉尾气为原料，通过全球领先的生物发酵技术直接转化为燃料乙醇、蛋白饲料、天然气等高附加值产品，实现工业尾气资源的高效清洁利用</w:t>
                      </w:r>
                      <w:r>
                        <w:rPr>
                          <w:rFonts w:hint="eastAsia" w:ascii="仿宋_GB2312" w:hAnsi="仿宋_GB2312" w:eastAsia="仿宋_GB2312" w:cs="仿宋_GB2312"/>
                          <w:b w:val="0"/>
                          <w:bCs/>
                          <w:sz w:val="24"/>
                          <w:szCs w:val="24"/>
                        </w:rPr>
                        <w:t>。</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left"/>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对接方向：</w:t>
                      </w:r>
                      <w:r>
                        <w:rPr>
                          <w:rFonts w:hint="eastAsia" w:ascii="仿宋_GB2312" w:hAnsi="仿宋_GB2312" w:eastAsia="仿宋_GB2312" w:cs="仿宋_GB2312"/>
                          <w:sz w:val="24"/>
                          <w:szCs w:val="24"/>
                          <w:lang w:eastAsia="zh-CN"/>
                        </w:rPr>
                        <w:t>首钢朗泽集团、南京工业大学</w:t>
                      </w:r>
                      <w:r>
                        <w:rPr>
                          <w:rFonts w:hint="eastAsia" w:ascii="仿宋_GB2312" w:hAnsi="仿宋_GB2312" w:eastAsia="仿宋_GB2312" w:cs="仿宋_GB2312"/>
                          <w:sz w:val="24"/>
                          <w:szCs w:val="24"/>
                        </w:rPr>
                        <w:t>。</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left"/>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重点企业：</w:t>
                      </w:r>
                      <w:r>
                        <w:rPr>
                          <w:rFonts w:hint="eastAsia" w:ascii="仿宋_GB2312" w:hAnsi="仿宋_GB2312" w:eastAsia="仿宋_GB2312" w:cs="仿宋_GB2312"/>
                          <w:sz w:val="24"/>
                          <w:szCs w:val="24"/>
                        </w:rPr>
                        <w:t>宁夏首朗吉元新能源科技有限公司</w:t>
                      </w:r>
                      <w:r>
                        <w:rPr>
                          <w:rFonts w:hint="eastAsia" w:ascii="仿宋_GB2312" w:hAnsi="仿宋_GB2312" w:eastAsia="仿宋_GB2312" w:cs="仿宋_GB2312"/>
                          <w:sz w:val="24"/>
                          <w:szCs w:val="24"/>
                          <w:lang w:eastAsia="zh-CN"/>
                        </w:rPr>
                        <w:t>、宁夏滨泽新能源科技有限公司</w:t>
                      </w:r>
                      <w:r>
                        <w:rPr>
                          <w:rFonts w:hint="eastAsia" w:ascii="仿宋_GB2312" w:hAnsi="仿宋_GB2312" w:eastAsia="仿宋_GB2312" w:cs="仿宋_GB2312"/>
                          <w:sz w:val="24"/>
                          <w:szCs w:val="24"/>
                        </w:rPr>
                        <w:t>等。</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964" w:leftChars="0" w:right="95" w:hanging="964" w:hangingChars="40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重点项目：</w:t>
                      </w:r>
                      <w:r>
                        <w:rPr>
                          <w:rFonts w:hint="eastAsia" w:ascii="仿宋_GB2312" w:hAnsi="仿宋_GB2312" w:eastAsia="仿宋_GB2312" w:cs="仿宋_GB2312"/>
                          <w:b w:val="0"/>
                          <w:bCs/>
                          <w:sz w:val="24"/>
                          <w:szCs w:val="24"/>
                          <w:lang w:eastAsia="zh-CN"/>
                        </w:rPr>
                        <w:t>首朗吉元年产</w:t>
                      </w:r>
                      <w:r>
                        <w:rPr>
                          <w:rFonts w:hint="eastAsia" w:ascii="仿宋_GB2312" w:hAnsi="仿宋_GB2312" w:eastAsia="仿宋_GB2312" w:cs="仿宋_GB2312"/>
                          <w:b w:val="0"/>
                          <w:bCs/>
                          <w:sz w:val="24"/>
                          <w:szCs w:val="24"/>
                          <w:lang w:val="en-US" w:eastAsia="zh-CN"/>
                        </w:rPr>
                        <w:t>4.5万吨工业尾气生物发酵法制燃料乙醇、</w:t>
                      </w:r>
                      <w:r>
                        <w:rPr>
                          <w:rFonts w:hint="eastAsia" w:ascii="仿宋_GB2312" w:hAnsi="仿宋_GB2312" w:eastAsia="仿宋_GB2312" w:cs="仿宋_GB2312"/>
                          <w:sz w:val="24"/>
                          <w:szCs w:val="24"/>
                          <w:lang w:eastAsia="zh-CN"/>
                        </w:rPr>
                        <w:t>滨泽年产6万吨工业尾气生物发酵法制燃料乙醇等项目</w:t>
                      </w:r>
                      <w:r>
                        <w:rPr>
                          <w:rFonts w:hint="eastAsia" w:ascii="仿宋_GB2312" w:hAnsi="仿宋_GB2312" w:eastAsia="仿宋_GB2312" w:cs="仿宋_GB2312"/>
                          <w:sz w:val="24"/>
                          <w:szCs w:val="24"/>
                        </w:rPr>
                        <w:t>。</w:t>
                      </w:r>
                    </w:p>
                  </w:txbxContent>
                </v:textbox>
                <w10:wrap type="none"/>
                <w10:anchorlock/>
              </v:rect>
            </w:pict>
          </mc:Fallback>
        </mc:AlternateContent>
      </w:r>
    </w:p>
    <w:p>
      <w:pPr>
        <w:pStyle w:val="4"/>
        <w:pageBreakBefore w:val="0"/>
        <w:widowControl w:val="0"/>
        <w:kinsoku/>
        <w:wordWrap/>
        <w:overflowPunct/>
        <w:topLinePunct w:val="0"/>
        <w:autoSpaceDE/>
        <w:autoSpaceDN/>
        <w:bidi w:val="0"/>
        <w:spacing w:line="560" w:lineRule="exact"/>
        <w:ind w:firstLine="643" w:firstLineChars="200"/>
        <w:textAlignment w:val="auto"/>
        <w:rPr>
          <w:rFonts w:hint="eastAsia" w:ascii="楷体" w:hAnsi="楷体" w:eastAsia="楷体" w:cs="楷体"/>
          <w:b/>
          <w:bCs/>
          <w:color w:val="000000" w:themeColor="text1"/>
          <w:sz w:val="30"/>
          <w:szCs w:val="30"/>
          <w:lang w:val="en-US" w:eastAsia="zh-CN"/>
          <w14:textFill>
            <w14:solidFill>
              <w14:schemeClr w14:val="tx1"/>
            </w14:solidFill>
          </w14:textFill>
        </w:rPr>
      </w:pPr>
      <w:bookmarkStart w:id="130" w:name="_Toc61883842"/>
      <w:bookmarkStart w:id="131" w:name="_Toc19834"/>
      <w:bookmarkStart w:id="132" w:name="_Toc148304994"/>
      <w:bookmarkStart w:id="133" w:name="_Toc6015"/>
      <w:r>
        <w:rPr>
          <w:rFonts w:hint="eastAsia" w:ascii="楷体" w:hAnsi="楷体" w:eastAsia="楷体" w:cs="楷体"/>
          <w:sz w:val="32"/>
          <w:szCs w:val="32"/>
          <w:lang w:eastAsia="zh-CN"/>
        </w:rPr>
        <w:t>二、培育壮大</w:t>
      </w:r>
      <w:r>
        <w:rPr>
          <w:rFonts w:hint="eastAsia" w:ascii="楷体" w:hAnsi="楷体" w:eastAsia="楷体" w:cs="楷体"/>
          <w:sz w:val="32"/>
          <w:szCs w:val="32"/>
        </w:rPr>
        <w:t>先进装备制造</w:t>
      </w:r>
      <w:bookmarkEnd w:id="130"/>
      <w:r>
        <w:rPr>
          <w:rFonts w:hint="eastAsia" w:ascii="楷体" w:hAnsi="楷体" w:eastAsia="楷体" w:cs="楷体"/>
          <w:sz w:val="32"/>
          <w:szCs w:val="32"/>
          <w:lang w:eastAsia="zh-CN"/>
        </w:rPr>
        <w:t>产业</w:t>
      </w:r>
      <w:bookmarkEnd w:id="131"/>
      <w:bookmarkEnd w:id="132"/>
      <w:bookmarkEnd w:id="133"/>
    </w:p>
    <w:p>
      <w:pPr>
        <w:keepNext w:val="0"/>
        <w:keepLines w:val="0"/>
        <w:pageBreakBefore w:val="0"/>
        <w:widowControl w:val="0"/>
        <w:kinsoku/>
        <w:wordWrap/>
        <w:overflowPunct/>
        <w:topLinePunct w:val="0"/>
        <w:autoSpaceDE/>
        <w:autoSpaceDN/>
        <w:bidi w:val="0"/>
        <w:adjustRightInd w:val="0"/>
        <w:snapToGrid w:val="0"/>
        <w:spacing w:line="560" w:lineRule="exact"/>
        <w:ind w:firstLine="602" w:firstLineChars="200"/>
        <w:textAlignment w:val="auto"/>
        <w:outlineLvl w:val="3"/>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b/>
          <w:bCs/>
          <w:color w:val="auto"/>
          <w:sz w:val="30"/>
          <w:szCs w:val="30"/>
          <w:lang w:val="en-US" w:eastAsia="zh-CN"/>
        </w:rPr>
        <w:t>培育壮大先进装备制造产业，打造五十亿级产业集群。</w:t>
      </w:r>
      <w:r>
        <w:rPr>
          <w:rFonts w:hint="eastAsia" w:ascii="仿宋_GB2312" w:hAnsi="仿宋_GB2312" w:eastAsia="仿宋_GB2312" w:cs="仿宋_GB2312"/>
          <w:color w:val="auto"/>
          <w:sz w:val="30"/>
          <w:szCs w:val="30"/>
          <w:lang w:val="en-US" w:eastAsia="zh-CN"/>
        </w:rPr>
        <w:t>以拓展产业分支、延伸产业链条、拔高产业层级为核心，在轮胎制造、铸件、管材管件等产品基础上，大力推进自动控制系统、工业机器人、关键零部件、智慧农机、关键电力设备等机械装备终端产品，延伸产业链条，增强产业竞争力，打造行业“单打冠军”。耦合新型合金、新材料产业基础优势，发展形成先进装备制造业集群。到2025年，先进装备制造产业总产值达到50亿元。</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373" w:leftChars="0" w:firstLine="301" w:firstLineChars="100"/>
        <w:textAlignment w:val="auto"/>
        <w:rPr>
          <w:rFonts w:hint="eastAsia" w:ascii="仿宋_GB2312" w:hAnsi="仿宋_GB2312" w:eastAsia="仿宋_GB2312" w:cs="仿宋_GB2312"/>
          <w:b/>
          <w:bCs/>
          <w:color w:val="auto"/>
          <w:sz w:val="30"/>
          <w:szCs w:val="30"/>
        </w:rPr>
      </w:pPr>
      <w:r>
        <w:rPr>
          <w:rFonts w:hint="eastAsia" w:ascii="仿宋_GB2312" w:hAnsi="仿宋_GB2312" w:eastAsia="仿宋_GB2312" w:cs="仿宋_GB2312"/>
          <w:b/>
          <w:bCs/>
          <w:color w:val="auto"/>
          <w:sz w:val="30"/>
          <w:szCs w:val="30"/>
          <w:lang w:val="en-US" w:eastAsia="zh-CN"/>
        </w:rPr>
        <w:t>1、矿热炉、合金浇铸机成套</w:t>
      </w:r>
      <w:r>
        <w:rPr>
          <w:rFonts w:hint="eastAsia" w:ascii="仿宋_GB2312" w:hAnsi="仿宋_GB2312" w:eastAsia="仿宋_GB2312" w:cs="仿宋_GB2312"/>
          <w:b/>
          <w:bCs/>
          <w:color w:val="auto"/>
          <w:sz w:val="30"/>
          <w:szCs w:val="30"/>
        </w:rPr>
        <w:t>智能装备</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00" w:firstLineChars="200"/>
        <w:textAlignment w:val="auto"/>
        <w:rPr>
          <w:rFonts w:hint="eastAsia" w:ascii="仿宋_GB2312" w:hAnsi="仿宋_GB2312" w:eastAsia="仿宋_GB2312" w:cs="仿宋_GB2312"/>
          <w:b/>
          <w:bCs/>
          <w:sz w:val="30"/>
          <w:szCs w:val="30"/>
        </w:rPr>
      </w:pPr>
      <w:r>
        <w:rPr>
          <w:rFonts w:hint="eastAsia" w:ascii="仿宋_GB2312" w:hAnsi="仿宋_GB2312" w:eastAsia="仿宋_GB2312" w:cs="仿宋_GB2312"/>
          <w:bCs/>
          <w:color w:val="auto"/>
          <w:sz w:val="30"/>
          <w:szCs w:val="30"/>
        </w:rPr>
        <w:t>加大高端产品研发设计，提升整机产品制造和系统集成的水平，培育专业化协作配套中小企业，打造</w:t>
      </w:r>
      <w:r>
        <w:rPr>
          <w:rFonts w:hint="eastAsia" w:ascii="仿宋_GB2312" w:hAnsi="仿宋_GB2312" w:eastAsia="仿宋_GB2312" w:cs="仿宋_GB2312"/>
          <w:b w:val="0"/>
          <w:bCs w:val="0"/>
          <w:color w:val="auto"/>
          <w:sz w:val="30"/>
          <w:szCs w:val="30"/>
          <w:u w:val="none"/>
          <w:lang w:val="en-US" w:eastAsia="zh-CN"/>
        </w:rPr>
        <w:t>矿热炉</w:t>
      </w:r>
      <w:r>
        <w:rPr>
          <w:rFonts w:hint="eastAsia" w:ascii="仿宋_GB2312" w:hAnsi="仿宋_GB2312" w:eastAsia="仿宋_GB2312" w:cs="仿宋_GB2312"/>
          <w:b w:val="0"/>
          <w:bCs w:val="0"/>
          <w:color w:val="auto"/>
          <w:sz w:val="30"/>
          <w:szCs w:val="30"/>
          <w:u w:val="none"/>
        </w:rPr>
        <w:t>全</w:t>
      </w:r>
      <w:r>
        <w:rPr>
          <w:rFonts w:hint="eastAsia" w:ascii="仿宋_GB2312" w:hAnsi="仿宋_GB2312" w:eastAsia="仿宋_GB2312" w:cs="仿宋_GB2312"/>
          <w:bCs/>
          <w:color w:val="auto"/>
          <w:sz w:val="30"/>
          <w:szCs w:val="30"/>
        </w:rPr>
        <w:t>产业</w:t>
      </w:r>
      <w:r>
        <w:rPr>
          <w:rFonts w:hint="eastAsia" w:ascii="仿宋_GB2312" w:hAnsi="仿宋_GB2312" w:eastAsia="仿宋_GB2312" w:cs="仿宋_GB2312"/>
          <w:bCs/>
          <w:color w:val="auto"/>
          <w:sz w:val="30"/>
          <w:szCs w:val="30"/>
          <w:lang w:eastAsia="zh-CN"/>
        </w:rPr>
        <w:t>先进</w:t>
      </w:r>
      <w:r>
        <w:rPr>
          <w:rFonts w:hint="eastAsia" w:ascii="仿宋_GB2312" w:hAnsi="仿宋_GB2312" w:eastAsia="仿宋_GB2312" w:cs="仿宋_GB2312"/>
          <w:b w:val="0"/>
          <w:bCs w:val="0"/>
          <w:color w:val="auto"/>
          <w:sz w:val="30"/>
          <w:szCs w:val="30"/>
          <w:u w:val="none"/>
        </w:rPr>
        <w:t>智能</w:t>
      </w:r>
      <w:r>
        <w:rPr>
          <w:rFonts w:hint="eastAsia" w:ascii="仿宋_GB2312" w:hAnsi="仿宋_GB2312" w:eastAsia="仿宋_GB2312" w:cs="仿宋_GB2312"/>
          <w:bCs/>
          <w:color w:val="auto"/>
          <w:sz w:val="30"/>
          <w:szCs w:val="30"/>
          <w:lang w:eastAsia="zh-CN"/>
        </w:rPr>
        <w:t>装备</w:t>
      </w:r>
      <w:r>
        <w:rPr>
          <w:rFonts w:hint="eastAsia" w:ascii="仿宋_GB2312" w:hAnsi="仿宋_GB2312" w:eastAsia="仿宋_GB2312" w:cs="仿宋_GB2312"/>
          <w:bCs/>
          <w:color w:val="auto"/>
          <w:sz w:val="30"/>
          <w:szCs w:val="30"/>
        </w:rPr>
        <w:t>链，积极开发</w:t>
      </w:r>
      <w:r>
        <w:rPr>
          <w:rFonts w:hint="eastAsia" w:ascii="仿宋_GB2312" w:hAnsi="仿宋_GB2312" w:eastAsia="仿宋_GB2312" w:cs="仿宋_GB2312"/>
          <w:bCs/>
          <w:color w:val="auto"/>
          <w:sz w:val="30"/>
          <w:szCs w:val="30"/>
          <w:lang w:eastAsia="zh-CN"/>
        </w:rPr>
        <w:t>中小型农业、工程机械装备业制造</w:t>
      </w:r>
      <w:r>
        <w:rPr>
          <w:rFonts w:hint="eastAsia" w:ascii="仿宋_GB2312" w:hAnsi="仿宋_GB2312" w:eastAsia="仿宋_GB2312" w:cs="仿宋_GB2312"/>
          <w:bCs/>
          <w:color w:val="auto"/>
          <w:sz w:val="30"/>
          <w:szCs w:val="30"/>
        </w:rPr>
        <w:t>领域产品。</w:t>
      </w:r>
    </w:p>
    <w:p>
      <w:pPr>
        <w:keepNext w:val="0"/>
        <w:keepLines w:val="0"/>
        <w:pageBreakBefore w:val="0"/>
        <w:widowControl w:val="0"/>
        <w:kinsoku/>
        <w:wordWrap/>
        <w:overflowPunct/>
        <w:topLinePunct w:val="0"/>
        <w:autoSpaceDE/>
        <w:autoSpaceDN/>
        <w:bidi w:val="0"/>
        <w:adjustRightInd w:val="0"/>
        <w:snapToGrid w:val="0"/>
        <w:spacing w:line="560" w:lineRule="exact"/>
        <w:ind w:firstLine="602" w:firstLineChars="200"/>
        <w:textAlignment w:val="auto"/>
        <w:rPr>
          <w:rFonts w:hint="eastAsia" w:ascii="仿宋_GB2312" w:hAnsi="仿宋_GB2312" w:eastAsia="仿宋_GB2312" w:cs="仿宋_GB2312"/>
          <w:b/>
          <w:bCs/>
          <w:sz w:val="30"/>
          <w:szCs w:val="30"/>
        </w:rPr>
      </w:pPr>
      <w:r>
        <w:rPr>
          <w:rFonts w:hint="eastAsia" w:ascii="仿宋_GB2312" w:hAnsi="仿宋_GB2312" w:eastAsia="仿宋_GB2312" w:cs="仿宋_GB2312"/>
          <w:b/>
          <w:bCs/>
          <w:sz w:val="30"/>
          <w:szCs w:val="30"/>
        </w:rPr>
        <w:t>发展思路与目标：</w:t>
      </w:r>
      <w:r>
        <w:rPr>
          <w:rFonts w:hint="eastAsia" w:ascii="仿宋_GB2312" w:hAnsi="仿宋_GB2312" w:eastAsia="仿宋_GB2312" w:cs="仿宋_GB2312"/>
          <w:bCs/>
          <w:sz w:val="30"/>
          <w:szCs w:val="30"/>
        </w:rPr>
        <w:t>加大高端产品研发设计，提升整机产品制造和系统集成的水平，培育专业化协作配套中小企业，打造</w:t>
      </w:r>
      <w:r>
        <w:rPr>
          <w:rFonts w:hint="eastAsia" w:ascii="仿宋_GB2312" w:hAnsi="仿宋_GB2312" w:eastAsia="仿宋_GB2312" w:cs="仿宋_GB2312"/>
          <w:bCs/>
          <w:sz w:val="30"/>
          <w:szCs w:val="30"/>
          <w:lang w:eastAsia="zh-CN"/>
        </w:rPr>
        <w:t>矿热炉、合金浇注机成套智能装备</w:t>
      </w:r>
      <w:r>
        <w:rPr>
          <w:rFonts w:hint="eastAsia" w:ascii="仿宋_GB2312" w:hAnsi="仿宋_GB2312" w:eastAsia="仿宋_GB2312" w:cs="仿宋_GB2312"/>
          <w:bCs/>
          <w:sz w:val="30"/>
          <w:szCs w:val="30"/>
        </w:rPr>
        <w:t>制造全产业链集群</w:t>
      </w:r>
      <w:r>
        <w:rPr>
          <w:rFonts w:hint="eastAsia" w:ascii="仿宋_GB2312" w:hAnsi="仿宋_GB2312" w:eastAsia="仿宋_GB2312" w:cs="仿宋_GB2312"/>
          <w:bCs/>
          <w:sz w:val="30"/>
          <w:szCs w:val="30"/>
          <w:lang w:eastAsia="zh-CN"/>
        </w:rPr>
        <w:t>。</w:t>
      </w:r>
      <w:r>
        <w:rPr>
          <w:rFonts w:hint="eastAsia" w:ascii="仿宋_GB2312" w:hAnsi="仿宋_GB2312" w:eastAsia="仿宋_GB2312" w:cs="仿宋_GB2312"/>
          <w:bCs/>
          <w:sz w:val="30"/>
          <w:szCs w:val="30"/>
        </w:rPr>
        <w:t>到2025年，实现产值</w:t>
      </w:r>
      <w:r>
        <w:rPr>
          <w:rFonts w:hint="eastAsia" w:ascii="仿宋_GB2312" w:hAnsi="仿宋_GB2312" w:eastAsia="仿宋_GB2312" w:cs="仿宋_GB2312"/>
          <w:bCs/>
          <w:color w:val="auto"/>
          <w:sz w:val="30"/>
          <w:szCs w:val="30"/>
          <w:lang w:val="en-US" w:eastAsia="zh-CN"/>
        </w:rPr>
        <w:t>5</w:t>
      </w:r>
      <w:r>
        <w:rPr>
          <w:rFonts w:hint="eastAsia" w:ascii="仿宋_GB2312" w:hAnsi="仿宋_GB2312" w:eastAsia="仿宋_GB2312" w:cs="仿宋_GB2312"/>
          <w:bCs/>
          <w:sz w:val="30"/>
          <w:szCs w:val="30"/>
        </w:rPr>
        <w:t>亿元以上。</w:t>
      </w:r>
    </w:p>
    <w:p>
      <w:pPr>
        <w:keepNext w:val="0"/>
        <w:keepLines w:val="0"/>
        <w:pageBreakBefore w:val="0"/>
        <w:widowControl w:val="0"/>
        <w:kinsoku/>
        <w:wordWrap/>
        <w:overflowPunct/>
        <w:topLinePunct w:val="0"/>
        <w:autoSpaceDE/>
        <w:autoSpaceDN/>
        <w:bidi w:val="0"/>
        <w:adjustRightInd w:val="0"/>
        <w:snapToGrid w:val="0"/>
        <w:spacing w:after="156" w:afterLines="50" w:line="560" w:lineRule="exact"/>
        <w:ind w:firstLine="602" w:firstLineChars="200"/>
        <w:textAlignment w:val="auto"/>
        <w:rPr>
          <w:rFonts w:hint="eastAsia" w:ascii="仿宋_GB2312" w:hAnsi="仿宋_GB2312" w:eastAsia="仿宋_GB2312" w:cs="仿宋_GB2312"/>
          <w:b/>
          <w:bCs/>
          <w:color w:val="000000"/>
          <w:sz w:val="30"/>
          <w:szCs w:val="30"/>
        </w:rPr>
      </w:pPr>
      <w:r>
        <w:rPr>
          <w:rFonts w:hint="eastAsia" w:ascii="仿宋_GB2312" w:hAnsi="仿宋_GB2312" w:eastAsia="仿宋_GB2312" w:cs="仿宋_GB2312"/>
          <w:b/>
          <w:bCs/>
          <w:sz w:val="30"/>
          <w:szCs w:val="30"/>
        </w:rPr>
        <w:t>发展路径与支撑：</w:t>
      </w:r>
      <w:r>
        <w:rPr>
          <w:rFonts w:hint="eastAsia" w:ascii="仿宋_GB2312" w:hAnsi="仿宋_GB2312" w:eastAsia="仿宋_GB2312" w:cs="仿宋_GB2312"/>
          <w:sz w:val="30"/>
          <w:szCs w:val="30"/>
        </w:rPr>
        <w:t>以成套化、数字化、智能化为导向，</w:t>
      </w:r>
      <w:r>
        <w:rPr>
          <w:rFonts w:hint="eastAsia" w:ascii="仿宋_GB2312" w:hAnsi="仿宋_GB2312" w:eastAsia="仿宋_GB2312" w:cs="仿宋_GB2312"/>
          <w:bCs/>
          <w:sz w:val="30"/>
          <w:szCs w:val="30"/>
        </w:rPr>
        <w:t>提高整机制造和系统集成的整体水平，为数字化</w:t>
      </w:r>
      <w:r>
        <w:rPr>
          <w:rFonts w:hint="eastAsia" w:ascii="仿宋_GB2312" w:hAnsi="仿宋_GB2312" w:eastAsia="仿宋_GB2312" w:cs="仿宋_GB2312"/>
          <w:bCs/>
          <w:sz w:val="30"/>
          <w:szCs w:val="30"/>
          <w:lang w:eastAsia="zh-CN"/>
        </w:rPr>
        <w:t>矿热炉</w:t>
      </w:r>
      <w:r>
        <w:rPr>
          <w:rFonts w:hint="eastAsia" w:ascii="仿宋_GB2312" w:hAnsi="仿宋_GB2312" w:eastAsia="仿宋_GB2312" w:cs="仿宋_GB2312"/>
          <w:bCs/>
          <w:sz w:val="30"/>
          <w:szCs w:val="30"/>
        </w:rPr>
        <w:t>提供高效智能交钥匙示范工程。依托</w:t>
      </w:r>
      <w:r>
        <w:rPr>
          <w:rFonts w:hint="eastAsia" w:ascii="仿宋_GB2312" w:hAnsi="仿宋_GB2312" w:eastAsia="仿宋_GB2312" w:cs="仿宋_GB2312"/>
          <w:bCs/>
          <w:sz w:val="30"/>
          <w:szCs w:val="30"/>
          <w:lang w:eastAsia="zh-CN"/>
        </w:rPr>
        <w:t>宁夏</w:t>
      </w:r>
      <w:r>
        <w:rPr>
          <w:rFonts w:hint="eastAsia" w:ascii="仿宋_GB2312" w:hAnsi="仿宋_GB2312" w:eastAsia="仿宋_GB2312" w:cs="仿宋_GB2312"/>
          <w:color w:val="auto"/>
          <w:sz w:val="30"/>
          <w:szCs w:val="30"/>
          <w:lang w:val="en-US" w:eastAsia="zh-CN"/>
        </w:rPr>
        <w:t>森源重工、宁夏南方环保等装备制造企业</w:t>
      </w:r>
      <w:r>
        <w:rPr>
          <w:rFonts w:hint="eastAsia" w:ascii="仿宋_GB2312" w:hAnsi="仿宋_GB2312" w:eastAsia="仿宋_GB2312" w:cs="仿宋_GB2312"/>
          <w:bCs/>
          <w:sz w:val="30"/>
          <w:szCs w:val="30"/>
        </w:rPr>
        <w:t>加大高端产品的研发设计，推动全流程智能化升级，重点发展</w:t>
      </w:r>
      <w:r>
        <w:rPr>
          <w:rFonts w:hint="eastAsia" w:ascii="仿宋_GB2312" w:hAnsi="仿宋_GB2312" w:eastAsia="仿宋_GB2312" w:cs="仿宋_GB2312"/>
          <w:color w:val="auto"/>
          <w:sz w:val="30"/>
          <w:szCs w:val="30"/>
          <w:lang w:val="en-US" w:eastAsia="zh-CN"/>
        </w:rPr>
        <w:t>矿热炉成套设备、环保设备、硅锰合金浇铸机、全自动液压导炉机等。</w:t>
      </w:r>
      <w:r>
        <w:rPr>
          <w:rFonts w:hint="eastAsia" w:ascii="仿宋_GB2312" w:hAnsi="仿宋_GB2312" w:eastAsia="仿宋_GB2312" w:cs="仿宋_GB2312"/>
          <w:bCs/>
          <w:sz w:val="30"/>
          <w:szCs w:val="30"/>
        </w:rPr>
        <w:t>以现有制造体系为基础，拓宽新的发展领域，积极开发大型石化设备、大型煤化工成套设备、冶金矿山成套设备、</w:t>
      </w:r>
      <w:r>
        <w:rPr>
          <w:rFonts w:eastAsia="仿宋_GB2312"/>
          <w:bCs/>
          <w:sz w:val="30"/>
          <w:szCs w:val="30"/>
        </w:rPr>
        <w:t>轨道交通设备、港口仓储等非煤领域产品。</w:t>
      </w:r>
    </w:p>
    <w:p>
      <w:pPr>
        <w:keepNext w:val="0"/>
        <w:keepLines w:val="0"/>
        <w:pageBreakBefore w:val="0"/>
        <w:widowControl w:val="0"/>
        <w:kinsoku/>
        <w:wordWrap/>
        <w:overflowPunct/>
        <w:topLinePunct w:val="0"/>
        <w:autoSpaceDE/>
        <w:autoSpaceDN/>
        <w:bidi w:val="0"/>
        <w:adjustRightInd w:val="0"/>
        <w:snapToGrid w:val="0"/>
        <w:spacing w:after="156" w:afterLines="50" w:line="560" w:lineRule="exact"/>
        <w:ind w:firstLine="600" w:firstLineChars="200"/>
        <w:textAlignment w:val="auto"/>
      </w:pPr>
      <w:r>
        <w:rPr>
          <w:sz w:val="30"/>
        </w:rPr>
        <mc:AlternateContent>
          <mc:Choice Requires="wps">
            <w:drawing>
              <wp:anchor distT="0" distB="0" distL="114300" distR="114300" simplePos="0" relativeHeight="251662336" behindDoc="0" locked="0" layoutInCell="1" allowOverlap="1">
                <wp:simplePos x="0" y="0"/>
                <wp:positionH relativeFrom="column">
                  <wp:posOffset>86360</wp:posOffset>
                </wp:positionH>
                <wp:positionV relativeFrom="paragraph">
                  <wp:posOffset>437515</wp:posOffset>
                </wp:positionV>
                <wp:extent cx="5286375" cy="1028700"/>
                <wp:effectExtent l="6350" t="6350" r="22225" b="12700"/>
                <wp:wrapNone/>
                <wp:docPr id="17" name="矩形 17"/>
                <wp:cNvGraphicFramePr/>
                <a:graphic xmlns:a="http://schemas.openxmlformats.org/drawingml/2006/main">
                  <a:graphicData uri="http://schemas.microsoft.com/office/word/2010/wordprocessingShape">
                    <wps:wsp>
                      <wps:cNvSpPr/>
                      <wps:spPr>
                        <a:xfrm>
                          <a:off x="1232535" y="2066925"/>
                          <a:ext cx="5286375" cy="10287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line="360" w:lineRule="auto"/>
                              <w:ind w:left="1444" w:leftChars="114" w:hanging="1205" w:hangingChars="500"/>
                              <w:jc w:val="left"/>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重点项目：</w:t>
                            </w:r>
                          </w:p>
                          <w:p>
                            <w:pPr>
                              <w:keepNext w:val="0"/>
                              <w:keepLines w:val="0"/>
                              <w:pageBreakBefore w:val="0"/>
                              <w:widowControl/>
                              <w:kinsoku/>
                              <w:wordWrap/>
                              <w:overflowPunct/>
                              <w:topLinePunct w:val="0"/>
                              <w:autoSpaceDE/>
                              <w:autoSpaceDN/>
                              <w:bidi w:val="0"/>
                              <w:adjustRightInd/>
                              <w:snapToGrid/>
                              <w:spacing w:line="360" w:lineRule="auto"/>
                              <w:ind w:left="959" w:leftChars="228" w:hanging="480" w:hangingChars="200"/>
                              <w:jc w:val="left"/>
                              <w:textAlignment w:val="auto"/>
                            </w:pPr>
                            <w:r>
                              <w:rPr>
                                <w:rFonts w:hint="eastAsia" w:ascii="仿宋_GB2312" w:hAnsi="仿宋_GB2312" w:eastAsia="仿宋_GB2312" w:cs="仿宋_GB2312"/>
                                <w:color w:val="auto"/>
                                <w:sz w:val="24"/>
                                <w:szCs w:val="24"/>
                                <w:lang w:val="en-US" w:eastAsia="zh-CN"/>
                              </w:rPr>
                              <w:t>1、</w:t>
                            </w:r>
                            <w:r>
                              <w:rPr>
                                <w:rFonts w:hint="eastAsia" w:ascii="仿宋_GB2312" w:hAnsi="仿宋_GB2312" w:eastAsia="仿宋_GB2312" w:cs="仿宋_GB2312"/>
                                <w:bCs/>
                                <w:sz w:val="24"/>
                                <w:szCs w:val="24"/>
                                <w:lang w:eastAsia="zh-CN"/>
                              </w:rPr>
                              <w:t>宁夏</w:t>
                            </w:r>
                            <w:r>
                              <w:rPr>
                                <w:rFonts w:hint="eastAsia" w:ascii="仿宋_GB2312" w:hAnsi="仿宋_GB2312" w:eastAsia="仿宋_GB2312" w:cs="仿宋_GB2312"/>
                                <w:color w:val="auto"/>
                                <w:sz w:val="24"/>
                                <w:szCs w:val="24"/>
                                <w:lang w:val="en-US" w:eastAsia="zh-CN"/>
                              </w:rPr>
                              <w:t>森源重工设备有限公司矿热炉成套设备制造、冶金炉制造、脱硫脱硝设备制造、除尘净化设备制造项目。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8pt;margin-top:34.45pt;height:81pt;width:416.25pt;z-index:251662336;v-text-anchor:middle;mso-width-relative:page;mso-height-relative:page;" fillcolor="#FFFFFF [3201]" filled="t" stroked="t" coordsize="21600,21600" o:gfxdata="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M2b2sDWAAAACQEAAA8AAAAAAAAAAQAgAAAAIgAAAGRycy9kb3ducmV2LnhtbFBLAQIU&#10;ABQAAAAIAIdO4kCU21uAZwIAAMAEAAAOAAAAAAAAAAEAIAAAACUBAABkcnMvZTJvRG9jLnhtbFBL&#10;BQYAAAAABgAGAFkBAAD+BQAAAAA=&#10;">
                <v:fill on="t" focussize="0,0"/>
                <v:stroke weight="1pt" color="#000000 [3213]" miterlimit="8" joinstyle="miter"/>
                <v:imagedata o:title=""/>
                <o:lock v:ext="edit" aspectratio="f"/>
                <v:textbox>
                  <w:txbxContent>
                    <w:p>
                      <w:pPr>
                        <w:keepNext w:val="0"/>
                        <w:keepLines w:val="0"/>
                        <w:pageBreakBefore w:val="0"/>
                        <w:widowControl/>
                        <w:kinsoku/>
                        <w:wordWrap/>
                        <w:overflowPunct/>
                        <w:topLinePunct w:val="0"/>
                        <w:autoSpaceDE/>
                        <w:autoSpaceDN/>
                        <w:bidi w:val="0"/>
                        <w:adjustRightInd/>
                        <w:snapToGrid/>
                        <w:spacing w:line="360" w:lineRule="auto"/>
                        <w:ind w:left="1444" w:leftChars="114" w:hanging="1205" w:hangingChars="500"/>
                        <w:jc w:val="left"/>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重点项目：</w:t>
                      </w:r>
                    </w:p>
                    <w:p>
                      <w:pPr>
                        <w:keepNext w:val="0"/>
                        <w:keepLines w:val="0"/>
                        <w:pageBreakBefore w:val="0"/>
                        <w:widowControl/>
                        <w:kinsoku/>
                        <w:wordWrap/>
                        <w:overflowPunct/>
                        <w:topLinePunct w:val="0"/>
                        <w:autoSpaceDE/>
                        <w:autoSpaceDN/>
                        <w:bidi w:val="0"/>
                        <w:adjustRightInd/>
                        <w:snapToGrid/>
                        <w:spacing w:line="360" w:lineRule="auto"/>
                        <w:ind w:left="959" w:leftChars="228" w:hanging="480" w:hangingChars="200"/>
                        <w:jc w:val="left"/>
                        <w:textAlignment w:val="auto"/>
                      </w:pPr>
                      <w:r>
                        <w:rPr>
                          <w:rFonts w:hint="eastAsia" w:ascii="仿宋_GB2312" w:hAnsi="仿宋_GB2312" w:eastAsia="仿宋_GB2312" w:cs="仿宋_GB2312"/>
                          <w:color w:val="auto"/>
                          <w:sz w:val="24"/>
                          <w:szCs w:val="24"/>
                          <w:lang w:val="en-US" w:eastAsia="zh-CN"/>
                        </w:rPr>
                        <w:t>1、</w:t>
                      </w:r>
                      <w:r>
                        <w:rPr>
                          <w:rFonts w:hint="eastAsia" w:ascii="仿宋_GB2312" w:hAnsi="仿宋_GB2312" w:eastAsia="仿宋_GB2312" w:cs="仿宋_GB2312"/>
                          <w:bCs/>
                          <w:sz w:val="24"/>
                          <w:szCs w:val="24"/>
                          <w:lang w:eastAsia="zh-CN"/>
                        </w:rPr>
                        <w:t>宁夏</w:t>
                      </w:r>
                      <w:r>
                        <w:rPr>
                          <w:rFonts w:hint="eastAsia" w:ascii="仿宋_GB2312" w:hAnsi="仿宋_GB2312" w:eastAsia="仿宋_GB2312" w:cs="仿宋_GB2312"/>
                          <w:color w:val="auto"/>
                          <w:sz w:val="24"/>
                          <w:szCs w:val="24"/>
                          <w:lang w:val="en-US" w:eastAsia="zh-CN"/>
                        </w:rPr>
                        <w:t>森源重工设备有限公司矿热炉成套设备制造、冶金炉制造、脱硫脱硝设备制造、除尘净化设备制造项目。</w:t>
                      </w:r>
                    </w:p>
                  </w:txbxContent>
                </v:textbox>
              </v:rect>
            </w:pict>
          </mc:Fallback>
        </mc:AlternateContent>
      </w:r>
      <w:r>
        <w:rPr>
          <w:rFonts w:hint="eastAsia" w:ascii="仿宋_GB2312" w:hAnsi="仿宋_GB2312" w:eastAsia="仿宋_GB2312" w:cs="仿宋_GB2312"/>
          <w:b/>
          <w:bCs/>
          <w:color w:val="000000"/>
          <w:sz w:val="30"/>
          <w:szCs w:val="30"/>
        </w:rPr>
        <w:t>专栏</w:t>
      </w:r>
      <w:r>
        <w:rPr>
          <w:rFonts w:hint="eastAsia" w:ascii="仿宋_GB2312" w:hAnsi="仿宋_GB2312" w:eastAsia="仿宋_GB2312" w:cs="仿宋_GB2312"/>
          <w:b/>
          <w:bCs/>
          <w:color w:val="000000"/>
          <w:sz w:val="30"/>
          <w:szCs w:val="30"/>
          <w:lang w:val="en-US" w:eastAsia="zh-CN"/>
        </w:rPr>
        <w:t>2-1</w:t>
      </w:r>
      <w:r>
        <w:rPr>
          <w:rFonts w:hint="eastAsia" w:ascii="仿宋_GB2312" w:hAnsi="仿宋_GB2312" w:eastAsia="仿宋_GB2312" w:cs="仿宋_GB2312"/>
          <w:b/>
          <w:bCs/>
          <w:color w:val="000000"/>
          <w:sz w:val="30"/>
          <w:szCs w:val="30"/>
        </w:rPr>
        <w:t xml:space="preserve"> 智能煤机装</w:t>
      </w:r>
      <w:r>
        <w:rPr>
          <w:rFonts w:hint="eastAsia" w:ascii="仿宋_GB2312" w:hAnsi="仿宋_GB2312" w:eastAsia="仿宋_GB2312" w:cs="仿宋_GB2312"/>
          <w:b/>
          <w:bCs/>
          <w:color w:val="auto"/>
          <w:sz w:val="30"/>
          <w:szCs w:val="30"/>
          <w:lang w:val="en-US" w:eastAsia="zh-CN"/>
        </w:rPr>
        <w:t>矿热炉、合金浇铸机成套</w:t>
      </w:r>
      <w:r>
        <w:rPr>
          <w:rFonts w:hint="eastAsia" w:ascii="仿宋_GB2312" w:hAnsi="仿宋_GB2312" w:eastAsia="仿宋_GB2312" w:cs="仿宋_GB2312"/>
          <w:b/>
          <w:bCs/>
          <w:color w:val="auto"/>
          <w:sz w:val="30"/>
          <w:szCs w:val="30"/>
        </w:rPr>
        <w:t>智能装</w:t>
      </w:r>
      <w:r>
        <w:rPr>
          <w:rFonts w:hint="eastAsia" w:ascii="仿宋_GB2312" w:hAnsi="仿宋_GB2312" w:eastAsia="仿宋_GB2312" w:cs="仿宋_GB2312"/>
          <w:b/>
          <w:bCs/>
          <w:color w:val="000000"/>
          <w:sz w:val="30"/>
          <w:szCs w:val="30"/>
        </w:rPr>
        <w:t>备</w:t>
      </w:r>
    </w:p>
    <w:p>
      <w:pPr>
        <w:keepNext w:val="0"/>
        <w:keepLines w:val="0"/>
        <w:pageBreakBefore w:val="0"/>
        <w:widowControl w:val="0"/>
        <w:kinsoku/>
        <w:wordWrap/>
        <w:overflowPunct/>
        <w:topLinePunct w:val="0"/>
        <w:autoSpaceDE/>
        <w:autoSpaceDN/>
        <w:bidi w:val="0"/>
        <w:adjustRightInd w:val="0"/>
        <w:snapToGrid w:val="0"/>
        <w:spacing w:line="560" w:lineRule="exact"/>
        <w:ind w:firstLine="602" w:firstLineChars="200"/>
        <w:textAlignment w:val="auto"/>
        <w:rPr>
          <w:rFonts w:hint="eastAsia" w:ascii="仿宋_GB2312" w:hAnsi="仿宋_GB2312" w:eastAsia="仿宋_GB2312" w:cs="仿宋_GB2312"/>
          <w:b/>
          <w:bCs/>
          <w:color w:val="auto"/>
          <w:sz w:val="30"/>
          <w:szCs w:val="30"/>
          <w:lang w:val="en-US" w:eastAsia="zh-CN"/>
        </w:rPr>
      </w:pPr>
    </w:p>
    <w:p>
      <w:pPr>
        <w:keepNext w:val="0"/>
        <w:keepLines w:val="0"/>
        <w:pageBreakBefore w:val="0"/>
        <w:widowControl w:val="0"/>
        <w:kinsoku/>
        <w:wordWrap/>
        <w:overflowPunct/>
        <w:topLinePunct w:val="0"/>
        <w:autoSpaceDE/>
        <w:autoSpaceDN/>
        <w:bidi w:val="0"/>
        <w:adjustRightInd w:val="0"/>
        <w:snapToGrid w:val="0"/>
        <w:spacing w:line="560" w:lineRule="exact"/>
        <w:ind w:firstLine="602" w:firstLineChars="200"/>
        <w:textAlignment w:val="auto"/>
        <w:rPr>
          <w:rFonts w:hint="eastAsia" w:ascii="仿宋_GB2312" w:hAnsi="仿宋_GB2312" w:eastAsia="仿宋_GB2312" w:cs="仿宋_GB2312"/>
          <w:b/>
          <w:bCs/>
          <w:color w:val="auto"/>
          <w:sz w:val="30"/>
          <w:szCs w:val="30"/>
          <w:lang w:val="en-US" w:eastAsia="zh-CN"/>
        </w:rPr>
      </w:pPr>
    </w:p>
    <w:p>
      <w:pPr>
        <w:keepNext w:val="0"/>
        <w:keepLines w:val="0"/>
        <w:pageBreakBefore w:val="0"/>
        <w:widowControl w:val="0"/>
        <w:kinsoku/>
        <w:wordWrap/>
        <w:overflowPunct/>
        <w:topLinePunct w:val="0"/>
        <w:autoSpaceDE/>
        <w:autoSpaceDN/>
        <w:bidi w:val="0"/>
        <w:adjustRightInd w:val="0"/>
        <w:snapToGrid w:val="0"/>
        <w:spacing w:line="560" w:lineRule="exact"/>
        <w:ind w:firstLine="602" w:firstLineChars="200"/>
        <w:textAlignment w:val="auto"/>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sz w:val="30"/>
          <w:szCs w:val="30"/>
          <w:lang w:val="en-US" w:eastAsia="zh-CN"/>
        </w:rPr>
        <w:t>2、精密铸造</w:t>
      </w:r>
    </w:p>
    <w:p>
      <w:pPr>
        <w:keepNext w:val="0"/>
        <w:keepLines w:val="0"/>
        <w:pageBreakBefore w:val="0"/>
        <w:widowControl w:val="0"/>
        <w:kinsoku/>
        <w:wordWrap/>
        <w:overflowPunct/>
        <w:topLinePunct w:val="0"/>
        <w:autoSpaceDE/>
        <w:autoSpaceDN/>
        <w:bidi w:val="0"/>
        <w:adjustRightInd w:val="0"/>
        <w:snapToGrid w:val="0"/>
        <w:spacing w:line="560" w:lineRule="exact"/>
        <w:ind w:firstLine="602" w:firstLineChars="200"/>
        <w:textAlignment w:val="auto"/>
        <w:rPr>
          <w:rFonts w:hint="eastAsia" w:ascii="仿宋_GB2312" w:hAnsi="仿宋_GB2312" w:eastAsia="仿宋_GB2312" w:cs="仿宋_GB2312"/>
          <w:b/>
          <w:bCs/>
          <w:color w:val="auto"/>
          <w:sz w:val="30"/>
          <w:szCs w:val="30"/>
        </w:rPr>
      </w:pPr>
      <w:r>
        <w:rPr>
          <w:rFonts w:hint="eastAsia" w:ascii="仿宋_GB2312" w:hAnsi="仿宋_GB2312" w:eastAsia="仿宋_GB2312" w:cs="仿宋_GB2312"/>
          <w:b/>
          <w:bCs/>
          <w:color w:val="auto"/>
          <w:sz w:val="30"/>
          <w:szCs w:val="30"/>
        </w:rPr>
        <w:t>发展思路与目标：</w:t>
      </w:r>
      <w:r>
        <w:rPr>
          <w:rFonts w:hint="eastAsia" w:ascii="仿宋_GB2312" w:hAnsi="仿宋_GB2312" w:eastAsia="仿宋_GB2312" w:cs="仿宋_GB2312"/>
          <w:bCs/>
          <w:color w:val="auto"/>
          <w:sz w:val="30"/>
          <w:szCs w:val="30"/>
        </w:rPr>
        <w:t>推进先进铸造工艺和精密加工工艺技术应用示范，打造高端装备智造产业，提升产业配套协作能力。到2025年，实现产值</w:t>
      </w:r>
      <w:r>
        <w:rPr>
          <w:rFonts w:hint="eastAsia" w:ascii="仿宋_GB2312" w:hAnsi="仿宋_GB2312" w:eastAsia="仿宋_GB2312" w:cs="仿宋_GB2312"/>
          <w:bCs/>
          <w:color w:val="auto"/>
          <w:sz w:val="30"/>
          <w:szCs w:val="30"/>
          <w:lang w:val="en-US" w:eastAsia="zh-CN"/>
        </w:rPr>
        <w:t>15</w:t>
      </w:r>
      <w:r>
        <w:rPr>
          <w:rFonts w:hint="eastAsia" w:ascii="仿宋_GB2312" w:hAnsi="仿宋_GB2312" w:eastAsia="仿宋_GB2312" w:cs="仿宋_GB2312"/>
          <w:bCs/>
          <w:color w:val="auto"/>
          <w:sz w:val="30"/>
          <w:szCs w:val="30"/>
        </w:rPr>
        <w:t>亿元，成为先进装备制造新的增长极。</w:t>
      </w:r>
    </w:p>
    <w:p>
      <w:pPr>
        <w:keepNext w:val="0"/>
        <w:keepLines w:val="0"/>
        <w:pageBreakBefore w:val="0"/>
        <w:widowControl w:val="0"/>
        <w:kinsoku/>
        <w:wordWrap/>
        <w:overflowPunct/>
        <w:topLinePunct w:val="0"/>
        <w:autoSpaceDE/>
        <w:autoSpaceDN/>
        <w:bidi w:val="0"/>
        <w:adjustRightInd w:val="0"/>
        <w:snapToGrid w:val="0"/>
        <w:spacing w:line="560" w:lineRule="exact"/>
        <w:ind w:firstLine="602" w:firstLineChars="200"/>
        <w:textAlignment w:val="auto"/>
        <w:rPr>
          <w:rFonts w:hint="eastAsia" w:ascii="仿宋_GB2312" w:hAnsi="仿宋_GB2312" w:eastAsia="仿宋_GB2312" w:cs="仿宋_GB2312"/>
          <w:bCs/>
          <w:sz w:val="30"/>
          <w:szCs w:val="30"/>
        </w:rPr>
      </w:pPr>
      <w:r>
        <w:rPr>
          <w:rFonts w:hint="eastAsia" w:ascii="仿宋_GB2312" w:hAnsi="仿宋_GB2312" w:eastAsia="仿宋_GB2312" w:cs="仿宋_GB2312"/>
          <w:b/>
          <w:bCs/>
          <w:sz w:val="30"/>
          <w:szCs w:val="30"/>
        </w:rPr>
        <w:t>发展路径与支撑：</w:t>
      </w:r>
      <w:r>
        <w:rPr>
          <w:rFonts w:hint="eastAsia" w:ascii="仿宋_GB2312" w:hAnsi="仿宋_GB2312" w:eastAsia="仿宋_GB2312" w:cs="仿宋_GB2312"/>
          <w:bCs/>
          <w:sz w:val="30"/>
          <w:szCs w:val="30"/>
        </w:rPr>
        <w:t>依托</w:t>
      </w:r>
      <w:r>
        <w:rPr>
          <w:rFonts w:hint="eastAsia" w:ascii="仿宋_GB2312" w:hAnsi="仿宋_GB2312" w:eastAsia="仿宋_GB2312" w:cs="仿宋_GB2312"/>
          <w:color w:val="auto"/>
          <w:sz w:val="30"/>
          <w:szCs w:val="30"/>
          <w:lang w:val="en-US" w:eastAsia="zh-CN"/>
        </w:rPr>
        <w:t>宁夏东越铸造、宁夏荣利鑫装备制造</w:t>
      </w:r>
      <w:r>
        <w:rPr>
          <w:rFonts w:hint="eastAsia" w:ascii="仿宋_GB2312" w:hAnsi="仿宋_GB2312" w:eastAsia="仿宋_GB2312" w:cs="仿宋_GB2312"/>
          <w:bCs/>
          <w:sz w:val="30"/>
          <w:szCs w:val="30"/>
        </w:rPr>
        <w:t>等企业，发挥铸造精密成型技术工程研究中心技术优势，加强与国内外科研院所的有效合作，突破深加工产业化发展的技术瓶颈，重点实施重力铸件和消失模铸件、</w:t>
      </w:r>
      <w:r>
        <w:rPr>
          <w:rFonts w:hint="eastAsia" w:ascii="仿宋_GB2312" w:hAnsi="仿宋_GB2312" w:eastAsia="仿宋_GB2312" w:cs="仿宋_GB2312"/>
          <w:bCs/>
          <w:sz w:val="30"/>
          <w:szCs w:val="30"/>
          <w:lang w:eastAsia="zh-CN"/>
        </w:rPr>
        <w:t>工程机械、</w:t>
      </w:r>
      <w:r>
        <w:rPr>
          <w:rFonts w:hint="eastAsia" w:ascii="仿宋_GB2312" w:hAnsi="仿宋_GB2312" w:eastAsia="仿宋_GB2312" w:cs="仿宋_GB2312"/>
          <w:bCs/>
          <w:sz w:val="30"/>
          <w:szCs w:val="30"/>
        </w:rPr>
        <w:t>汽车零部件等精密压铸件、煤矿机械配套铸件产业化项目，延伸发展大型结构件、大型（重型）铸钢件及超大（超重）型铸钢件、高强度高耐磨性铸钢、精密铝合金压铸件、精密阀门等精密铸造产品，开展增材制造及大型铸件再制造，打造大型精密铸件基地。高标准推进高端装备智造产业园建设，引入“互联网＋智能制造”“数字化制造”“工业云”等信息技术，打造智能制造车间，吸引智能制造企业聚集发展。</w:t>
      </w:r>
    </w:p>
    <w:p>
      <w:pPr>
        <w:pStyle w:val="2"/>
        <w:keepNext w:val="0"/>
        <w:keepLines w:val="0"/>
        <w:pageBreakBefore w:val="0"/>
        <w:widowControl w:val="0"/>
        <w:kinsoku/>
        <w:wordWrap/>
        <w:overflowPunct/>
        <w:topLinePunct w:val="0"/>
        <w:autoSpaceDE/>
        <w:autoSpaceDN/>
        <w:bidi w:val="0"/>
        <w:spacing w:line="560" w:lineRule="exact"/>
        <w:ind w:firstLine="2409" w:firstLineChars="800"/>
        <w:textAlignment w:val="auto"/>
        <w:rPr>
          <w:sz w:val="30"/>
          <w:szCs w:val="30"/>
        </w:rPr>
      </w:pPr>
      <w:r>
        <w:rPr>
          <w:rFonts w:hint="eastAsia" w:ascii="仿宋_GB2312" w:hAnsi="仿宋_GB2312" w:eastAsia="仿宋_GB2312" w:cs="仿宋_GB2312"/>
          <w:b/>
          <w:bCs/>
          <w:color w:val="000000"/>
          <w:sz w:val="30"/>
          <w:szCs w:val="30"/>
        </w:rPr>
        <w:t>专栏</w:t>
      </w:r>
      <w:r>
        <w:rPr>
          <w:rFonts w:hint="eastAsia" w:ascii="仿宋_GB2312" w:hAnsi="仿宋_GB2312" w:eastAsia="仿宋_GB2312" w:cs="仿宋_GB2312"/>
          <w:b/>
          <w:bCs/>
          <w:color w:val="000000"/>
          <w:sz w:val="30"/>
          <w:szCs w:val="30"/>
          <w:lang w:val="en-US" w:eastAsia="zh-CN"/>
        </w:rPr>
        <w:t>2-2</w:t>
      </w:r>
      <w:r>
        <w:rPr>
          <w:rFonts w:hint="eastAsia" w:ascii="仿宋_GB2312" w:hAnsi="仿宋_GB2312" w:eastAsia="仿宋_GB2312" w:cs="仿宋_GB2312"/>
          <w:b/>
          <w:bCs/>
          <w:color w:val="000000"/>
          <w:sz w:val="30"/>
          <w:szCs w:val="30"/>
        </w:rPr>
        <w:t xml:space="preserve"> 精密铸造</w:t>
      </w:r>
    </w:p>
    <w:p>
      <w:pPr>
        <w:adjustRightInd w:val="0"/>
        <w:snapToGrid w:val="0"/>
        <w:spacing w:line="560" w:lineRule="exact"/>
        <w:ind w:firstLine="640" w:firstLineChars="200"/>
        <w:outlineLvl w:val="3"/>
        <w:rPr>
          <w:rFonts w:hint="eastAsia" w:eastAsia="仿宋_GB2312"/>
          <w:b/>
          <w:bCs/>
          <w:sz w:val="32"/>
          <w:szCs w:val="32"/>
          <w:lang w:val="en-US" w:eastAsia="zh-CN"/>
        </w:rPr>
      </w:pPr>
      <w:r>
        <w:rPr>
          <w:sz w:val="32"/>
        </w:rPr>
        <mc:AlternateContent>
          <mc:Choice Requires="wps">
            <w:drawing>
              <wp:anchor distT="0" distB="0" distL="114300" distR="114300" simplePos="0" relativeHeight="251663360" behindDoc="0" locked="0" layoutInCell="1" allowOverlap="1">
                <wp:simplePos x="0" y="0"/>
                <wp:positionH relativeFrom="column">
                  <wp:posOffset>143510</wp:posOffset>
                </wp:positionH>
                <wp:positionV relativeFrom="paragraph">
                  <wp:posOffset>28575</wp:posOffset>
                </wp:positionV>
                <wp:extent cx="5172075" cy="1226820"/>
                <wp:effectExtent l="6350" t="6350" r="22225" b="24130"/>
                <wp:wrapNone/>
                <wp:docPr id="18" name="矩形 18"/>
                <wp:cNvGraphicFramePr/>
                <a:graphic xmlns:a="http://schemas.openxmlformats.org/drawingml/2006/main">
                  <a:graphicData uri="http://schemas.microsoft.com/office/word/2010/wordprocessingShape">
                    <wps:wsp>
                      <wps:cNvSpPr/>
                      <wps:spPr>
                        <a:xfrm>
                          <a:off x="1413510" y="7604760"/>
                          <a:ext cx="5172075" cy="12268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after="62" w:afterLines="20" w:line="360" w:lineRule="auto"/>
                              <w:ind w:firstLine="241" w:firstLineChars="100"/>
                              <w:jc w:val="left"/>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重点项目：</w:t>
                            </w:r>
                          </w:p>
                          <w:p>
                            <w:pPr>
                              <w:keepNext w:val="0"/>
                              <w:keepLines w:val="0"/>
                              <w:pageBreakBefore w:val="0"/>
                              <w:widowControl/>
                              <w:kinsoku/>
                              <w:wordWrap/>
                              <w:overflowPunct/>
                              <w:topLinePunct w:val="0"/>
                              <w:autoSpaceDE/>
                              <w:autoSpaceDN/>
                              <w:bidi w:val="0"/>
                              <w:adjustRightInd/>
                              <w:snapToGrid/>
                              <w:spacing w:after="62" w:afterLines="20" w:line="360" w:lineRule="auto"/>
                              <w:ind w:left="0" w:leftChars="0" w:firstLine="840" w:firstLineChars="350"/>
                              <w:jc w:val="left"/>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宁夏东越铸造有限公司15万吨铸造件加工</w:t>
                            </w:r>
                            <w:r>
                              <w:rPr>
                                <w:rFonts w:hint="eastAsia" w:ascii="仿宋_GB2312" w:hAnsi="仿宋_GB2312" w:eastAsia="仿宋_GB2312" w:cs="仿宋_GB2312"/>
                                <w:sz w:val="24"/>
                                <w:szCs w:val="24"/>
                                <w:lang w:eastAsia="zh-CN"/>
                              </w:rPr>
                              <w:t>项目；</w:t>
                            </w:r>
                          </w:p>
                          <w:p>
                            <w:pPr>
                              <w:keepNext w:val="0"/>
                              <w:keepLines w:val="0"/>
                              <w:pageBreakBefore w:val="0"/>
                              <w:kinsoku/>
                              <w:wordWrap/>
                              <w:overflowPunct/>
                              <w:topLinePunct w:val="0"/>
                              <w:autoSpaceDE/>
                              <w:autoSpaceDN/>
                              <w:bidi w:val="0"/>
                              <w:adjustRightInd/>
                              <w:snapToGrid/>
                              <w:spacing w:line="360" w:lineRule="auto"/>
                              <w:jc w:val="center"/>
                              <w:textAlignment w:val="auto"/>
                              <w:rPr>
                                <w:sz w:val="24"/>
                                <w:szCs w:val="24"/>
                              </w:rPr>
                            </w:pPr>
                            <w:r>
                              <w:rPr>
                                <w:rFonts w:hint="eastAsia" w:ascii="仿宋_GB2312" w:hAnsi="仿宋_GB2312" w:eastAsia="仿宋_GB2312" w:cs="仿宋_GB2312"/>
                                <w:color w:val="auto"/>
                                <w:sz w:val="24"/>
                                <w:szCs w:val="24"/>
                                <w:lang w:val="en-US" w:eastAsia="zh-CN"/>
                              </w:rPr>
                              <w:t>2、宁夏荣利鑫装备制造有限公司20万吨机械铸造等项目</w:t>
                            </w:r>
                            <w:r>
                              <w:rPr>
                                <w:rFonts w:hint="eastAsia" w:ascii="仿宋_GB2312" w:hAnsi="仿宋_GB2312" w:eastAsia="仿宋_GB2312" w:cs="仿宋_GB2312"/>
                                <w:sz w:val="24"/>
                                <w:szCs w:val="24"/>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pt;margin-top:2.25pt;height:96.6pt;width:407.25pt;z-index:251663360;v-text-anchor:middle;mso-width-relative:page;mso-height-relative:page;" fillcolor="#FFFFFF [3201]" filled="t" stroked="t" coordsize="21600,21600" o:gfxdata="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2Ws5HNYAAAAIAQAADwAAAAAAAAABACAAAAAiAAAAZHJzL2Rvd25yZXYueG1sUEsBAhQA&#10;FAAAAAgAh07iQJh4mmZmAgAAwAQAAA4AAAAAAAAAAQAgAAAAJQEAAGRycy9lMm9Eb2MueG1sUEsF&#10;BgAAAAAGAAYAWQEAAP0FAAAAAA==&#10;">
                <v:fill on="t" focussize="0,0"/>
                <v:stroke weight="1pt" color="#000000 [3213]" miterlimit="8" joinstyle="miter"/>
                <v:imagedata o:title=""/>
                <o:lock v:ext="edit" aspectratio="f"/>
                <v:textbox>
                  <w:txbxContent>
                    <w:p>
                      <w:pPr>
                        <w:keepNext w:val="0"/>
                        <w:keepLines w:val="0"/>
                        <w:pageBreakBefore w:val="0"/>
                        <w:widowControl/>
                        <w:kinsoku/>
                        <w:wordWrap/>
                        <w:overflowPunct/>
                        <w:topLinePunct w:val="0"/>
                        <w:autoSpaceDE/>
                        <w:autoSpaceDN/>
                        <w:bidi w:val="0"/>
                        <w:adjustRightInd/>
                        <w:snapToGrid/>
                        <w:spacing w:after="62" w:afterLines="20" w:line="360" w:lineRule="auto"/>
                        <w:ind w:firstLine="241" w:firstLineChars="100"/>
                        <w:jc w:val="left"/>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重点项目：</w:t>
                      </w:r>
                    </w:p>
                    <w:p>
                      <w:pPr>
                        <w:keepNext w:val="0"/>
                        <w:keepLines w:val="0"/>
                        <w:pageBreakBefore w:val="0"/>
                        <w:widowControl/>
                        <w:kinsoku/>
                        <w:wordWrap/>
                        <w:overflowPunct/>
                        <w:topLinePunct w:val="0"/>
                        <w:autoSpaceDE/>
                        <w:autoSpaceDN/>
                        <w:bidi w:val="0"/>
                        <w:adjustRightInd/>
                        <w:snapToGrid/>
                        <w:spacing w:after="62" w:afterLines="20" w:line="360" w:lineRule="auto"/>
                        <w:ind w:left="0" w:leftChars="0" w:firstLine="840" w:firstLineChars="350"/>
                        <w:jc w:val="left"/>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宁夏东越铸造有限公司15万吨铸造件加工</w:t>
                      </w:r>
                      <w:r>
                        <w:rPr>
                          <w:rFonts w:hint="eastAsia" w:ascii="仿宋_GB2312" w:hAnsi="仿宋_GB2312" w:eastAsia="仿宋_GB2312" w:cs="仿宋_GB2312"/>
                          <w:sz w:val="24"/>
                          <w:szCs w:val="24"/>
                          <w:lang w:eastAsia="zh-CN"/>
                        </w:rPr>
                        <w:t>项目；</w:t>
                      </w:r>
                    </w:p>
                    <w:p>
                      <w:pPr>
                        <w:keepNext w:val="0"/>
                        <w:keepLines w:val="0"/>
                        <w:pageBreakBefore w:val="0"/>
                        <w:kinsoku/>
                        <w:wordWrap/>
                        <w:overflowPunct/>
                        <w:topLinePunct w:val="0"/>
                        <w:autoSpaceDE/>
                        <w:autoSpaceDN/>
                        <w:bidi w:val="0"/>
                        <w:adjustRightInd/>
                        <w:snapToGrid/>
                        <w:spacing w:line="360" w:lineRule="auto"/>
                        <w:jc w:val="center"/>
                        <w:textAlignment w:val="auto"/>
                        <w:rPr>
                          <w:sz w:val="24"/>
                          <w:szCs w:val="24"/>
                        </w:rPr>
                      </w:pPr>
                      <w:r>
                        <w:rPr>
                          <w:rFonts w:hint="eastAsia" w:ascii="仿宋_GB2312" w:hAnsi="仿宋_GB2312" w:eastAsia="仿宋_GB2312" w:cs="仿宋_GB2312"/>
                          <w:color w:val="auto"/>
                          <w:sz w:val="24"/>
                          <w:szCs w:val="24"/>
                          <w:lang w:val="en-US" w:eastAsia="zh-CN"/>
                        </w:rPr>
                        <w:t>2、宁夏荣利鑫装备制造有限公司20万吨机械铸造等项目</w:t>
                      </w:r>
                      <w:r>
                        <w:rPr>
                          <w:rFonts w:hint="eastAsia" w:ascii="仿宋_GB2312" w:hAnsi="仿宋_GB2312" w:eastAsia="仿宋_GB2312" w:cs="仿宋_GB2312"/>
                          <w:sz w:val="24"/>
                          <w:szCs w:val="24"/>
                          <w:lang w:eastAsia="zh-CN"/>
                        </w:rPr>
                        <w:t>。</w:t>
                      </w:r>
                    </w:p>
                  </w:txbxContent>
                </v:textbox>
              </v:rect>
            </w:pict>
          </mc:Fallback>
        </mc:AlternateContent>
      </w:r>
    </w:p>
    <w:p>
      <w:pPr>
        <w:adjustRightInd w:val="0"/>
        <w:snapToGrid w:val="0"/>
        <w:spacing w:line="560" w:lineRule="exact"/>
        <w:ind w:firstLine="643" w:firstLineChars="200"/>
        <w:outlineLvl w:val="3"/>
        <w:rPr>
          <w:rFonts w:hint="eastAsia" w:eastAsia="仿宋_GB2312"/>
          <w:b/>
          <w:bCs/>
          <w:sz w:val="32"/>
          <w:szCs w:val="32"/>
          <w:lang w:val="en-US" w:eastAsia="zh-CN"/>
        </w:rPr>
      </w:pPr>
    </w:p>
    <w:p>
      <w:pPr>
        <w:adjustRightInd w:val="0"/>
        <w:snapToGrid w:val="0"/>
        <w:spacing w:line="560" w:lineRule="exact"/>
        <w:outlineLvl w:val="3"/>
        <w:rPr>
          <w:rFonts w:hint="eastAsia" w:eastAsia="仿宋_GB2312"/>
          <w:b/>
          <w:bCs/>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textAlignment w:val="auto"/>
        <w:outlineLvl w:val="3"/>
        <w:rPr>
          <w:rFonts w:hint="eastAsia" w:eastAsia="仿宋_GB2312"/>
          <w:b/>
          <w:bCs/>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textAlignment w:val="auto"/>
        <w:outlineLvl w:val="3"/>
        <w:rPr>
          <w:rFonts w:eastAsia="仿宋_GB2312"/>
          <w:b/>
          <w:bCs/>
          <w:sz w:val="32"/>
          <w:szCs w:val="32"/>
        </w:rPr>
      </w:pPr>
      <w:r>
        <w:rPr>
          <w:rFonts w:hint="eastAsia" w:eastAsia="仿宋_GB2312"/>
          <w:b/>
          <w:bCs/>
          <w:sz w:val="32"/>
          <w:szCs w:val="32"/>
          <w:lang w:val="en-US" w:eastAsia="zh-CN"/>
        </w:rPr>
        <w:t>3、</w:t>
      </w:r>
      <w:r>
        <w:rPr>
          <w:rFonts w:eastAsia="仿宋_GB2312"/>
          <w:b/>
          <w:bCs/>
          <w:sz w:val="32"/>
          <w:szCs w:val="32"/>
        </w:rPr>
        <w:t>通用装备及零部件</w:t>
      </w:r>
    </w:p>
    <w:p>
      <w:pPr>
        <w:keepNext w:val="0"/>
        <w:keepLines w:val="0"/>
        <w:pageBreakBefore w:val="0"/>
        <w:widowControl w:val="0"/>
        <w:kinsoku/>
        <w:wordWrap/>
        <w:overflowPunct/>
        <w:topLinePunct w:val="0"/>
        <w:autoSpaceDE/>
        <w:autoSpaceDN/>
        <w:bidi w:val="0"/>
        <w:adjustRightInd w:val="0"/>
        <w:snapToGrid w:val="0"/>
        <w:spacing w:line="560" w:lineRule="exact"/>
        <w:ind w:firstLine="602" w:firstLineChars="200"/>
        <w:textAlignment w:val="auto"/>
        <w:rPr>
          <w:rFonts w:hint="eastAsia" w:ascii="仿宋_GB2312" w:hAnsi="仿宋_GB2312" w:eastAsia="仿宋_GB2312" w:cs="仿宋_GB2312"/>
          <w:bCs/>
          <w:sz w:val="30"/>
          <w:szCs w:val="30"/>
        </w:rPr>
      </w:pPr>
      <w:r>
        <w:rPr>
          <w:rFonts w:hint="eastAsia" w:ascii="仿宋_GB2312" w:hAnsi="仿宋_GB2312" w:eastAsia="仿宋_GB2312" w:cs="仿宋_GB2312"/>
          <w:b/>
          <w:bCs/>
          <w:sz w:val="30"/>
          <w:szCs w:val="30"/>
        </w:rPr>
        <w:t>发展思路与目标：</w:t>
      </w:r>
      <w:r>
        <w:rPr>
          <w:rFonts w:hint="eastAsia" w:ascii="仿宋_GB2312" w:hAnsi="仿宋_GB2312" w:eastAsia="仿宋_GB2312" w:cs="仿宋_GB2312"/>
          <w:bCs/>
          <w:sz w:val="30"/>
          <w:szCs w:val="30"/>
        </w:rPr>
        <w:t>依托产业基础，打造区域性智能制造协同创新平台，以通用装备、矿山机械零部件、汽车零部件、特种工业机器人零部件、特种管材为发展重点，面向行业需求提供产品配套。到2025年，培育出有一定带动作用的零部件加工制造企业，完成产值</w:t>
      </w:r>
      <w:r>
        <w:rPr>
          <w:rFonts w:hint="eastAsia" w:ascii="仿宋_GB2312" w:hAnsi="仿宋_GB2312" w:eastAsia="仿宋_GB2312" w:cs="仿宋_GB2312"/>
          <w:bCs/>
          <w:color w:val="auto"/>
          <w:sz w:val="30"/>
          <w:szCs w:val="30"/>
          <w:lang w:val="en-US" w:eastAsia="zh-CN"/>
        </w:rPr>
        <w:t>25</w:t>
      </w:r>
      <w:r>
        <w:rPr>
          <w:rFonts w:hint="eastAsia" w:ascii="仿宋_GB2312" w:hAnsi="仿宋_GB2312" w:eastAsia="仿宋_GB2312" w:cs="仿宋_GB2312"/>
          <w:bCs/>
          <w:sz w:val="30"/>
          <w:szCs w:val="30"/>
        </w:rPr>
        <w:t>亿元以上。</w:t>
      </w:r>
    </w:p>
    <w:p>
      <w:pPr>
        <w:keepNext w:val="0"/>
        <w:keepLines w:val="0"/>
        <w:pageBreakBefore w:val="0"/>
        <w:widowControl w:val="0"/>
        <w:kinsoku/>
        <w:wordWrap/>
        <w:overflowPunct/>
        <w:topLinePunct w:val="0"/>
        <w:autoSpaceDE/>
        <w:autoSpaceDN/>
        <w:bidi w:val="0"/>
        <w:adjustRightInd w:val="0"/>
        <w:snapToGrid w:val="0"/>
        <w:spacing w:line="560" w:lineRule="exact"/>
        <w:ind w:firstLine="602" w:firstLineChars="200"/>
        <w:textAlignment w:val="auto"/>
        <w:rPr>
          <w:rFonts w:hint="eastAsia" w:ascii="仿宋_GB2312" w:hAnsi="仿宋_GB2312" w:eastAsia="仿宋_GB2312" w:cs="仿宋_GB2312"/>
          <w:b/>
          <w:bCs/>
          <w:color w:val="000000"/>
          <w:sz w:val="30"/>
          <w:szCs w:val="30"/>
        </w:rPr>
      </w:pPr>
      <w:r>
        <w:rPr>
          <w:rFonts w:hint="eastAsia" w:ascii="仿宋_GB2312" w:hAnsi="仿宋_GB2312" w:eastAsia="仿宋_GB2312" w:cs="仿宋_GB2312"/>
          <w:b/>
          <w:bCs/>
          <w:sz w:val="30"/>
          <w:szCs w:val="30"/>
        </w:rPr>
        <w:t>发展路径与支撑：</w:t>
      </w:r>
      <w:r>
        <w:rPr>
          <w:rFonts w:hint="eastAsia" w:ascii="仿宋_GB2312" w:hAnsi="仿宋_GB2312" w:eastAsia="仿宋_GB2312" w:cs="仿宋_GB2312"/>
          <w:bCs/>
          <w:sz w:val="30"/>
          <w:szCs w:val="30"/>
        </w:rPr>
        <w:t>加强</w:t>
      </w:r>
      <w:r>
        <w:rPr>
          <w:rFonts w:hint="eastAsia" w:ascii="仿宋_GB2312" w:hAnsi="仿宋_GB2312" w:eastAsia="仿宋_GB2312" w:cs="仿宋_GB2312"/>
          <w:bCs/>
          <w:sz w:val="30"/>
          <w:szCs w:val="30"/>
          <w:lang w:eastAsia="zh-CN"/>
        </w:rPr>
        <w:t>校</w:t>
      </w:r>
      <w:r>
        <w:rPr>
          <w:rFonts w:hint="eastAsia" w:ascii="仿宋_GB2312" w:hAnsi="仿宋_GB2312" w:eastAsia="仿宋_GB2312" w:cs="仿宋_GB2312"/>
          <w:bCs/>
          <w:sz w:val="30"/>
          <w:szCs w:val="30"/>
        </w:rPr>
        <w:t>企合作，保持大轮胎、特种</w:t>
      </w:r>
      <w:r>
        <w:rPr>
          <w:rFonts w:hint="eastAsia" w:ascii="仿宋_GB2312" w:hAnsi="仿宋_GB2312" w:eastAsia="仿宋_GB2312" w:cs="仿宋_GB2312"/>
          <w:bCs/>
          <w:sz w:val="30"/>
          <w:szCs w:val="30"/>
          <w:lang w:eastAsia="zh-CN"/>
        </w:rPr>
        <w:t>设备</w:t>
      </w:r>
      <w:r>
        <w:rPr>
          <w:rFonts w:hint="eastAsia" w:ascii="仿宋_GB2312" w:hAnsi="仿宋_GB2312" w:eastAsia="仿宋_GB2312" w:cs="仿宋_GB2312"/>
          <w:bCs/>
          <w:sz w:val="30"/>
          <w:szCs w:val="30"/>
        </w:rPr>
        <w:t>领域的优势地位，加快推动电动汽车全钢轮胎、矿用轮胎、工程轮胎、飞机轮胎产业化。结合当地需求，引进通用装备生产项目，配套发展煤机装备高附加值零部件。鼓励德信恒通管业抢占西部地区石油、化工等行业特种管材市场，在扩大不锈钢管件及法兰市场占有率的同时，加快推进有色金属钛材、镍基合金管件的产业化；依托企业高性能特材管件研发团队，积极开发有色金属管件。结合区域市场需求，对接东部产业转移，引进特种塑料管材、高强度钢管材、精密铸管、异形管材以及压力容器等制造生产项目。培育发展机器人及零部件，重点发展面向冶金、化工、仓储、物流等领域的工业机器人配套零部件。引进发展轨道交通、新能源汽车配套零部件，重点发展汽车动力锂电池、高精度变速箱、汽车轮毂、装饰材料等高端零部件。大力发展汽车零配件物流、销售及加工制造，力争把汽车后市场培育成为新的经济增长点。</w:t>
      </w:r>
    </w:p>
    <w:p>
      <w:pPr>
        <w:pStyle w:val="2"/>
        <w:keepNext w:val="0"/>
        <w:keepLines w:val="0"/>
        <w:pageBreakBefore w:val="0"/>
        <w:widowControl w:val="0"/>
        <w:kinsoku/>
        <w:wordWrap/>
        <w:overflowPunct/>
        <w:topLinePunct w:val="0"/>
        <w:autoSpaceDE/>
        <w:autoSpaceDN/>
        <w:bidi w:val="0"/>
        <w:spacing w:line="560" w:lineRule="atLeast"/>
        <w:ind w:firstLine="2409" w:firstLineChars="800"/>
        <w:textAlignment w:val="auto"/>
        <w:rPr>
          <w:rFonts w:hint="eastAsia"/>
        </w:rPr>
      </w:pPr>
      <w:r>
        <w:rPr>
          <w:rFonts w:hint="eastAsia" w:ascii="仿宋_GB2312" w:hAnsi="仿宋_GB2312" w:eastAsia="仿宋_GB2312" w:cs="仿宋_GB2312"/>
          <w:b/>
          <w:bCs/>
          <w:color w:val="000000"/>
          <w:sz w:val="30"/>
          <w:szCs w:val="30"/>
        </w:rPr>
        <w:t>专栏</w:t>
      </w:r>
      <w:r>
        <w:rPr>
          <w:rFonts w:hint="eastAsia" w:ascii="仿宋_GB2312" w:hAnsi="仿宋_GB2312" w:eastAsia="仿宋_GB2312" w:cs="仿宋_GB2312"/>
          <w:b/>
          <w:bCs/>
          <w:color w:val="000000"/>
          <w:sz w:val="30"/>
          <w:szCs w:val="30"/>
          <w:lang w:val="en-US" w:eastAsia="zh-CN"/>
        </w:rPr>
        <w:t>2-3</w:t>
      </w:r>
      <w:r>
        <w:rPr>
          <w:rFonts w:hint="eastAsia" w:ascii="仿宋_GB2312" w:hAnsi="仿宋_GB2312" w:eastAsia="仿宋_GB2312" w:cs="仿宋_GB2312"/>
          <w:b/>
          <w:bCs/>
          <w:color w:val="000000"/>
          <w:sz w:val="30"/>
          <w:szCs w:val="30"/>
        </w:rPr>
        <w:t xml:space="preserve"> 通用装备及零部件</w:t>
      </w:r>
    </w:p>
    <w:tbl>
      <w:tblPr>
        <w:tblStyle w:val="21"/>
        <w:tblW w:w="846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3" w:hRule="atLeast"/>
        </w:trPr>
        <w:tc>
          <w:tcPr>
            <w:tcW w:w="8460" w:type="dxa"/>
            <w:vAlign w:val="top"/>
          </w:tcPr>
          <w:p>
            <w:pPr>
              <w:widowControl/>
              <w:spacing w:line="360" w:lineRule="auto"/>
              <w:ind w:firstLine="241" w:firstLineChars="100"/>
              <w:rPr>
                <w:rFonts w:hint="eastAsia" w:ascii="仿宋_GB2312" w:hAnsi="仿宋_GB2312" w:eastAsia="仿宋_GB2312" w:cs="仿宋_GB2312"/>
                <w:b/>
                <w:sz w:val="24"/>
                <w:szCs w:val="28"/>
              </w:rPr>
            </w:pPr>
            <w:r>
              <w:rPr>
                <w:rFonts w:hint="eastAsia" w:ascii="仿宋_GB2312" w:hAnsi="仿宋_GB2312" w:eastAsia="仿宋_GB2312" w:cs="仿宋_GB2312"/>
                <w:b/>
                <w:sz w:val="24"/>
                <w:szCs w:val="28"/>
              </w:rPr>
              <w:t>重点项目：</w:t>
            </w:r>
          </w:p>
          <w:p>
            <w:pPr>
              <w:widowControl/>
              <w:spacing w:line="360" w:lineRule="auto"/>
              <w:ind w:left="479" w:leftChars="114" w:hanging="240" w:hangingChars="100"/>
              <w:rPr>
                <w:rFonts w:hint="eastAsia" w:ascii="仿宋_GB2312" w:hAnsi="仿宋_GB2312" w:eastAsia="仿宋_GB2312" w:cs="仿宋_GB2312"/>
                <w:sz w:val="24"/>
                <w:szCs w:val="28"/>
                <w:lang w:eastAsia="zh-CN"/>
              </w:rPr>
            </w:pPr>
            <w:r>
              <w:rPr>
                <w:rFonts w:hint="eastAsia" w:ascii="仿宋_GB2312" w:hAnsi="仿宋_GB2312" w:eastAsia="仿宋_GB2312" w:cs="仿宋_GB2312"/>
                <w:sz w:val="24"/>
                <w:szCs w:val="28"/>
                <w:lang w:val="en-US" w:eastAsia="zh-CN"/>
              </w:rPr>
              <w:t>1、</w:t>
            </w:r>
            <w:r>
              <w:rPr>
                <w:rFonts w:hint="eastAsia" w:ascii="仿宋_GB2312" w:hAnsi="仿宋_GB2312" w:eastAsia="仿宋_GB2312" w:cs="仿宋_GB2312"/>
                <w:sz w:val="24"/>
                <w:szCs w:val="28"/>
              </w:rPr>
              <w:t>神州轮胎年产240万套全钢子午线轮胎、10万吨钢帘线及8万吨炭黑的新生产基地</w:t>
            </w:r>
            <w:r>
              <w:rPr>
                <w:rFonts w:hint="eastAsia" w:ascii="仿宋_GB2312" w:hAnsi="仿宋_GB2312" w:eastAsia="仿宋_GB2312" w:cs="仿宋_GB2312"/>
                <w:sz w:val="24"/>
                <w:szCs w:val="28"/>
                <w:lang w:eastAsia="zh-CN"/>
              </w:rPr>
              <w:t>项目；</w:t>
            </w:r>
          </w:p>
          <w:p>
            <w:pPr>
              <w:widowControl/>
              <w:spacing w:line="360" w:lineRule="auto"/>
              <w:ind w:firstLine="240" w:firstLineChars="100"/>
              <w:rPr>
                <w:rFonts w:hint="eastAsia" w:ascii="仿宋_GB2312" w:hAnsi="仿宋_GB2312" w:eastAsia="仿宋_GB2312" w:cs="仿宋_GB2312"/>
                <w:sz w:val="24"/>
                <w:szCs w:val="28"/>
                <w:lang w:eastAsia="zh-CN"/>
              </w:rPr>
            </w:pPr>
            <w:r>
              <w:rPr>
                <w:rFonts w:hint="eastAsia" w:ascii="仿宋_GB2312" w:hAnsi="仿宋_GB2312" w:eastAsia="仿宋_GB2312" w:cs="仿宋_GB2312"/>
                <w:sz w:val="24"/>
                <w:szCs w:val="28"/>
                <w:lang w:val="en-US" w:eastAsia="zh-CN"/>
              </w:rPr>
              <w:t>2、</w:t>
            </w:r>
            <w:r>
              <w:rPr>
                <w:rFonts w:hint="eastAsia" w:ascii="仿宋_GB2312" w:hAnsi="仿宋_GB2312" w:eastAsia="仿宋_GB2312" w:cs="仿宋_GB2312"/>
                <w:sz w:val="24"/>
                <w:szCs w:val="28"/>
                <w:lang w:eastAsia="zh-CN"/>
              </w:rPr>
              <w:t>宁夏德信恒通生产管材、法兰盘项目；</w:t>
            </w:r>
          </w:p>
          <w:p>
            <w:pPr>
              <w:widowControl/>
              <w:spacing w:line="360" w:lineRule="auto"/>
              <w:ind w:firstLine="240" w:firstLineChars="100"/>
              <w:rPr>
                <w:rFonts w:hint="eastAsia" w:ascii="仿宋_GB2312" w:hAnsi="仿宋_GB2312" w:eastAsia="仿宋_GB2312" w:cs="仿宋_GB2312"/>
                <w:sz w:val="24"/>
                <w:szCs w:val="28"/>
                <w:lang w:eastAsia="zh-CN"/>
              </w:rPr>
            </w:pPr>
            <w:r>
              <w:rPr>
                <w:rFonts w:hint="eastAsia" w:ascii="仿宋_GB2312" w:hAnsi="仿宋_GB2312" w:eastAsia="仿宋_GB2312" w:cs="仿宋_GB2312"/>
                <w:sz w:val="24"/>
                <w:szCs w:val="28"/>
                <w:lang w:val="en-US" w:eastAsia="zh-CN"/>
              </w:rPr>
              <w:t>3、</w:t>
            </w:r>
            <w:r>
              <w:rPr>
                <w:rFonts w:hint="eastAsia" w:ascii="仿宋_GB2312" w:hAnsi="仿宋_GB2312" w:eastAsia="仿宋_GB2312" w:cs="仿宋_GB2312"/>
                <w:sz w:val="24"/>
                <w:szCs w:val="28"/>
              </w:rPr>
              <w:t>宁夏</w:t>
            </w:r>
            <w:r>
              <w:rPr>
                <w:rFonts w:hint="eastAsia" w:ascii="仿宋_GB2312" w:hAnsi="仿宋_GB2312" w:eastAsia="仿宋_GB2312" w:cs="仿宋_GB2312"/>
                <w:sz w:val="24"/>
                <w:szCs w:val="28"/>
                <w:lang w:eastAsia="zh-CN"/>
              </w:rPr>
              <w:t>天弘益智能</w:t>
            </w:r>
            <w:r>
              <w:rPr>
                <w:rFonts w:hint="eastAsia" w:ascii="仿宋_GB2312" w:hAnsi="仿宋_GB2312" w:eastAsia="仿宋_GB2312" w:cs="仿宋_GB2312"/>
                <w:sz w:val="24"/>
                <w:szCs w:val="28"/>
              </w:rPr>
              <w:t>有限公司</w:t>
            </w:r>
            <w:r>
              <w:rPr>
                <w:rFonts w:hint="eastAsia" w:ascii="仿宋_GB2312" w:hAnsi="仿宋_GB2312" w:eastAsia="仿宋_GB2312" w:cs="仿宋_GB2312"/>
                <w:sz w:val="24"/>
                <w:szCs w:val="28"/>
                <w:lang w:eastAsia="zh-CN"/>
              </w:rPr>
              <w:t>年产</w:t>
            </w:r>
            <w:r>
              <w:rPr>
                <w:rFonts w:hint="eastAsia" w:ascii="仿宋_GB2312" w:hAnsi="仿宋_GB2312" w:eastAsia="仿宋_GB2312" w:cs="仿宋_GB2312"/>
                <w:sz w:val="24"/>
                <w:szCs w:val="28"/>
                <w:lang w:val="en-US" w:eastAsia="zh-CN"/>
              </w:rPr>
              <w:t>600台矿用车厢设备</w:t>
            </w:r>
            <w:r>
              <w:rPr>
                <w:rFonts w:hint="eastAsia" w:ascii="仿宋_GB2312" w:hAnsi="仿宋_GB2312" w:eastAsia="仿宋_GB2312" w:cs="仿宋_GB2312"/>
                <w:sz w:val="24"/>
                <w:szCs w:val="28"/>
              </w:rPr>
              <w:t>等项目</w:t>
            </w:r>
            <w:r>
              <w:rPr>
                <w:rFonts w:hint="eastAsia" w:ascii="仿宋_GB2312" w:hAnsi="仿宋_GB2312" w:eastAsia="仿宋_GB2312" w:cs="仿宋_GB2312"/>
                <w:sz w:val="24"/>
                <w:szCs w:val="28"/>
                <w:lang w:eastAsia="zh-CN"/>
              </w:rPr>
              <w:t>；</w:t>
            </w:r>
          </w:p>
          <w:p>
            <w:pPr>
              <w:widowControl/>
              <w:spacing w:line="360" w:lineRule="auto"/>
              <w:ind w:firstLine="240" w:firstLineChars="100"/>
              <w:rPr>
                <w:rFonts w:hint="eastAsia" w:eastAsia="仿宋_GB2312"/>
                <w:sz w:val="24"/>
                <w:szCs w:val="28"/>
                <w:lang w:eastAsia="zh-CN"/>
              </w:rPr>
            </w:pPr>
            <w:r>
              <w:rPr>
                <w:rFonts w:hint="eastAsia" w:ascii="仿宋_GB2312" w:hAnsi="仿宋_GB2312" w:eastAsia="仿宋_GB2312" w:cs="仿宋_GB2312"/>
                <w:color w:val="auto"/>
                <w:sz w:val="24"/>
                <w:szCs w:val="24"/>
                <w:lang w:val="en-US" w:eastAsia="zh-CN"/>
              </w:rPr>
              <w:t>4、宁夏铸源机械制造有限公司</w:t>
            </w:r>
            <w:r>
              <w:rPr>
                <w:rFonts w:hint="eastAsia" w:ascii="仿宋_GB2312" w:hAnsi="仿宋_GB2312" w:eastAsia="仿宋_GB2312" w:cs="仿宋_GB2312"/>
                <w:i w:val="0"/>
                <w:iCs w:val="0"/>
                <w:caps w:val="0"/>
                <w:color w:val="333333"/>
                <w:spacing w:val="0"/>
                <w:sz w:val="24"/>
                <w:szCs w:val="24"/>
                <w:shd w:val="clear" w:fill="FFFFFF"/>
              </w:rPr>
              <w:t>机械配件、配件模具的加工</w:t>
            </w:r>
            <w:r>
              <w:rPr>
                <w:rFonts w:hint="eastAsia" w:ascii="仿宋_GB2312" w:hAnsi="仿宋_GB2312" w:eastAsia="仿宋_GB2312" w:cs="仿宋_GB2312"/>
                <w:i w:val="0"/>
                <w:iCs w:val="0"/>
                <w:caps w:val="0"/>
                <w:color w:val="333333"/>
                <w:spacing w:val="0"/>
                <w:sz w:val="24"/>
                <w:szCs w:val="24"/>
                <w:shd w:val="clear" w:fill="FFFFFF"/>
                <w:lang w:eastAsia="zh-CN"/>
              </w:rPr>
              <w:t>项目。</w:t>
            </w:r>
          </w:p>
        </w:tc>
      </w:tr>
    </w:tbl>
    <w:p>
      <w:pPr>
        <w:keepNext w:val="0"/>
        <w:keepLines w:val="0"/>
        <w:pageBreakBefore w:val="0"/>
        <w:widowControl w:val="0"/>
        <w:kinsoku/>
        <w:wordWrap/>
        <w:overflowPunct/>
        <w:topLinePunct w:val="0"/>
        <w:autoSpaceDE/>
        <w:autoSpaceDN/>
        <w:bidi w:val="0"/>
        <w:adjustRightInd w:val="0"/>
        <w:snapToGrid w:val="0"/>
        <w:spacing w:line="560" w:lineRule="exact"/>
        <w:ind w:firstLine="602" w:firstLineChars="200"/>
        <w:textAlignment w:val="auto"/>
        <w:outlineLvl w:val="3"/>
        <w:rPr>
          <w:rFonts w:hint="eastAsia" w:ascii="仿宋_GB2312" w:hAnsi="仿宋_GB2312" w:eastAsia="仿宋_GB2312" w:cs="仿宋_GB2312"/>
          <w:b/>
          <w:bCs/>
          <w:sz w:val="30"/>
          <w:szCs w:val="30"/>
        </w:rPr>
      </w:pPr>
      <w:r>
        <w:rPr>
          <w:rFonts w:hint="eastAsia" w:ascii="仿宋_GB2312" w:hAnsi="仿宋_GB2312" w:eastAsia="仿宋_GB2312" w:cs="仿宋_GB2312"/>
          <w:b/>
          <w:bCs/>
          <w:sz w:val="30"/>
          <w:szCs w:val="30"/>
          <w:lang w:val="en-US" w:eastAsia="zh-CN"/>
        </w:rPr>
        <w:t>4、</w:t>
      </w:r>
      <w:r>
        <w:rPr>
          <w:rFonts w:hint="eastAsia" w:ascii="仿宋_GB2312" w:hAnsi="仿宋_GB2312" w:eastAsia="仿宋_GB2312" w:cs="仿宋_GB2312"/>
          <w:b/>
          <w:bCs/>
          <w:sz w:val="30"/>
          <w:szCs w:val="30"/>
        </w:rPr>
        <w:t>节能环保装备</w:t>
      </w:r>
    </w:p>
    <w:p>
      <w:pPr>
        <w:keepNext w:val="0"/>
        <w:keepLines w:val="0"/>
        <w:pageBreakBefore w:val="0"/>
        <w:widowControl w:val="0"/>
        <w:kinsoku/>
        <w:wordWrap/>
        <w:overflowPunct/>
        <w:topLinePunct w:val="0"/>
        <w:autoSpaceDE/>
        <w:autoSpaceDN/>
        <w:bidi w:val="0"/>
        <w:adjustRightInd w:val="0"/>
        <w:snapToGrid w:val="0"/>
        <w:spacing w:line="560" w:lineRule="exact"/>
        <w:ind w:firstLine="602" w:firstLineChars="200"/>
        <w:textAlignment w:val="auto"/>
        <w:rPr>
          <w:rFonts w:hint="eastAsia" w:ascii="仿宋_GB2312" w:hAnsi="仿宋_GB2312" w:eastAsia="仿宋_GB2312" w:cs="仿宋_GB2312"/>
          <w:bCs/>
          <w:sz w:val="30"/>
          <w:szCs w:val="30"/>
        </w:rPr>
      </w:pPr>
      <w:r>
        <w:rPr>
          <w:rFonts w:hint="eastAsia" w:ascii="仿宋_GB2312" w:hAnsi="仿宋_GB2312" w:eastAsia="仿宋_GB2312" w:cs="仿宋_GB2312"/>
          <w:b/>
          <w:bCs/>
          <w:sz w:val="30"/>
          <w:szCs w:val="30"/>
        </w:rPr>
        <w:t>发展思路与目标：</w:t>
      </w:r>
      <w:r>
        <w:rPr>
          <w:rFonts w:hint="eastAsia" w:ascii="仿宋_GB2312" w:hAnsi="仿宋_GB2312" w:eastAsia="仿宋_GB2312" w:cs="仿宋_GB2312"/>
          <w:bCs/>
          <w:sz w:val="30"/>
          <w:szCs w:val="30"/>
        </w:rPr>
        <w:t>以节能环保技术改造和资源循环利用带动完善节能环保产业体系，重点发展节能环保装备制造及推广，带动节能和环保技术应用及推广。到2025年，初步形成技术先进、功能完备、特色鲜明的节能环保产业链</w:t>
      </w:r>
      <w:r>
        <w:rPr>
          <w:rFonts w:hint="eastAsia" w:ascii="仿宋_GB2312" w:hAnsi="仿宋_GB2312" w:eastAsia="仿宋_GB2312" w:cs="仿宋_GB2312"/>
          <w:bCs/>
          <w:sz w:val="30"/>
          <w:szCs w:val="30"/>
          <w:lang w:eastAsia="zh-CN"/>
        </w:rPr>
        <w:t>，</w:t>
      </w:r>
      <w:r>
        <w:rPr>
          <w:rFonts w:hint="eastAsia" w:ascii="仿宋_GB2312" w:hAnsi="仿宋_GB2312" w:eastAsia="仿宋_GB2312" w:cs="仿宋_GB2312"/>
          <w:bCs/>
          <w:sz w:val="30"/>
          <w:szCs w:val="30"/>
        </w:rPr>
        <w:t>完成产值</w:t>
      </w:r>
      <w:r>
        <w:rPr>
          <w:rFonts w:hint="eastAsia" w:ascii="仿宋_GB2312" w:hAnsi="仿宋_GB2312" w:eastAsia="仿宋_GB2312" w:cs="仿宋_GB2312"/>
          <w:bCs/>
          <w:color w:val="auto"/>
          <w:sz w:val="30"/>
          <w:szCs w:val="30"/>
          <w:lang w:val="en-US" w:eastAsia="zh-CN"/>
        </w:rPr>
        <w:t>5</w:t>
      </w:r>
      <w:r>
        <w:rPr>
          <w:rFonts w:hint="eastAsia" w:ascii="仿宋_GB2312" w:hAnsi="仿宋_GB2312" w:eastAsia="仿宋_GB2312" w:cs="仿宋_GB2312"/>
          <w:bCs/>
          <w:sz w:val="30"/>
          <w:szCs w:val="30"/>
        </w:rPr>
        <w:t>亿元。</w:t>
      </w:r>
    </w:p>
    <w:p>
      <w:pPr>
        <w:keepNext w:val="0"/>
        <w:keepLines w:val="0"/>
        <w:pageBreakBefore w:val="0"/>
        <w:widowControl w:val="0"/>
        <w:kinsoku/>
        <w:wordWrap/>
        <w:overflowPunct/>
        <w:topLinePunct w:val="0"/>
        <w:autoSpaceDE/>
        <w:autoSpaceDN/>
        <w:bidi w:val="0"/>
        <w:adjustRightInd w:val="0"/>
        <w:snapToGrid w:val="0"/>
        <w:spacing w:line="560" w:lineRule="exact"/>
        <w:ind w:firstLine="602" w:firstLineChars="200"/>
        <w:textAlignment w:val="auto"/>
        <w:rPr>
          <w:rFonts w:hint="eastAsia" w:ascii="仿宋_GB2312" w:hAnsi="仿宋_GB2312" w:eastAsia="仿宋_GB2312" w:cs="仿宋_GB2312"/>
          <w:bCs/>
          <w:sz w:val="30"/>
          <w:szCs w:val="30"/>
        </w:rPr>
      </w:pPr>
      <w:r>
        <w:rPr>
          <w:rFonts w:hint="eastAsia" w:ascii="仿宋_GB2312" w:hAnsi="仿宋_GB2312" w:eastAsia="仿宋_GB2312" w:cs="仿宋_GB2312"/>
          <w:b/>
          <w:bCs/>
          <w:sz w:val="30"/>
          <w:szCs w:val="30"/>
        </w:rPr>
        <w:t>发展路径与支撑：</w:t>
      </w:r>
      <w:r>
        <w:rPr>
          <w:rFonts w:hint="eastAsia" w:ascii="仿宋_GB2312" w:hAnsi="仿宋_GB2312" w:eastAsia="仿宋_GB2312" w:cs="仿宋_GB2312"/>
          <w:bCs/>
          <w:sz w:val="30"/>
          <w:szCs w:val="30"/>
        </w:rPr>
        <w:t>鼓励扶持</w:t>
      </w:r>
      <w:r>
        <w:rPr>
          <w:rFonts w:hint="eastAsia" w:ascii="仿宋_GB2312" w:hAnsi="仿宋_GB2312" w:eastAsia="仿宋_GB2312" w:cs="仿宋_GB2312"/>
          <w:bCs/>
          <w:color w:val="000000" w:themeColor="text1"/>
          <w:sz w:val="30"/>
          <w:szCs w:val="30"/>
          <w14:textFill>
            <w14:solidFill>
              <w14:schemeClr w14:val="tx1"/>
            </w14:solidFill>
          </w14:textFill>
        </w:rPr>
        <w:t>森源重工</w:t>
      </w:r>
      <w:r>
        <w:rPr>
          <w:rFonts w:hint="eastAsia" w:ascii="仿宋_GB2312" w:hAnsi="仿宋_GB2312" w:eastAsia="仿宋_GB2312" w:cs="仿宋_GB2312"/>
          <w:bCs/>
          <w:sz w:val="30"/>
          <w:szCs w:val="30"/>
        </w:rPr>
        <w:t>等骨干企业，围绕企业“三废”综合利用、余热余压回收利用等示范工程，开展节能环保设备研发，推广高效节能锅炉（窑炉）、太阳能设备、节能机电、城市综合管廊装备等，重点引进风机、特高压输变电设备、脱硝脱硫设备、矿热炉除尘净化设备、污水处理设备等装备制造项目，增强节能环保设备制造产业市场竞争力。支持大型重点用能单位依托自身技术优势和管理经验，开展专业化节能环保服务，发展系统设计、成套设备、工程施工、调试运行和维护管理等节能环保服务总承包。创新合同能源管理服务模式，规范引导环境污染第三方治理，为用户提供节能环保技术咨询、系统设计、设备制造、工程施工、运营管理等一体化专业服务。</w:t>
      </w:r>
    </w:p>
    <w:p>
      <w:pPr>
        <w:pStyle w:val="2"/>
        <w:keepNext w:val="0"/>
        <w:keepLines w:val="0"/>
        <w:pageBreakBefore w:val="0"/>
        <w:widowControl w:val="0"/>
        <w:kinsoku/>
        <w:wordWrap/>
        <w:overflowPunct/>
        <w:topLinePunct w:val="0"/>
        <w:autoSpaceDE/>
        <w:autoSpaceDN/>
        <w:bidi w:val="0"/>
        <w:spacing w:line="560" w:lineRule="atLeast"/>
        <w:ind w:firstLine="2711" w:firstLineChars="900"/>
        <w:textAlignment w:val="auto"/>
        <w:rPr>
          <w:rFonts w:hint="eastAsia" w:ascii="仿宋_GB2312" w:hAnsi="仿宋_GB2312" w:eastAsia="仿宋_GB2312" w:cs="仿宋_GB2312"/>
          <w:bCs/>
          <w:sz w:val="30"/>
          <w:szCs w:val="30"/>
        </w:rPr>
      </w:pPr>
      <w:r>
        <w:rPr>
          <w:rFonts w:hint="eastAsia" w:ascii="仿宋_GB2312" w:hAnsi="仿宋_GB2312" w:eastAsia="仿宋_GB2312" w:cs="仿宋_GB2312"/>
          <w:b/>
          <w:bCs/>
          <w:color w:val="000000"/>
          <w:sz w:val="30"/>
          <w:szCs w:val="30"/>
        </w:rPr>
        <w:t>专栏</w:t>
      </w:r>
      <w:r>
        <w:rPr>
          <w:rFonts w:hint="eastAsia" w:ascii="仿宋_GB2312" w:hAnsi="仿宋_GB2312" w:eastAsia="仿宋_GB2312" w:cs="仿宋_GB2312"/>
          <w:b/>
          <w:bCs/>
          <w:color w:val="000000"/>
          <w:sz w:val="30"/>
          <w:szCs w:val="30"/>
          <w:lang w:val="en-US" w:eastAsia="zh-CN"/>
        </w:rPr>
        <w:t>2-4</w:t>
      </w:r>
      <w:r>
        <w:rPr>
          <w:rFonts w:hint="eastAsia" w:ascii="仿宋_GB2312" w:hAnsi="仿宋_GB2312" w:eastAsia="仿宋_GB2312" w:cs="仿宋_GB2312"/>
          <w:b/>
          <w:bCs/>
          <w:color w:val="000000"/>
          <w:sz w:val="30"/>
          <w:szCs w:val="30"/>
        </w:rPr>
        <w:t xml:space="preserve"> 节能环保装备</w:t>
      </w:r>
    </w:p>
    <w:tbl>
      <w:tblPr>
        <w:tblStyle w:val="21"/>
        <w:tblW w:w="846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7" w:hRule="atLeast"/>
        </w:trPr>
        <w:tc>
          <w:tcPr>
            <w:tcW w:w="8460" w:type="dxa"/>
            <w:vAlign w:val="top"/>
          </w:tcPr>
          <w:p>
            <w:pPr>
              <w:widowControl/>
              <w:spacing w:line="360" w:lineRule="auto"/>
              <w:ind w:firstLine="241" w:firstLineChars="100"/>
              <w:rPr>
                <w:rFonts w:hint="eastAsia" w:ascii="仿宋_GB2312" w:hAnsi="仿宋_GB2312" w:eastAsia="仿宋_GB2312" w:cs="仿宋_GB2312"/>
                <w:b/>
                <w:sz w:val="24"/>
                <w:szCs w:val="28"/>
              </w:rPr>
            </w:pPr>
            <w:r>
              <w:rPr>
                <w:rFonts w:hint="eastAsia" w:ascii="仿宋_GB2312" w:hAnsi="仿宋_GB2312" w:eastAsia="仿宋_GB2312" w:cs="仿宋_GB2312"/>
                <w:b/>
                <w:sz w:val="24"/>
                <w:szCs w:val="28"/>
              </w:rPr>
              <w:t>重点项目：</w:t>
            </w:r>
          </w:p>
          <w:p>
            <w:pPr>
              <w:widowControl/>
              <w:spacing w:line="360" w:lineRule="auto"/>
              <w:ind w:left="480" w:leftChars="114" w:hanging="241" w:hangingChars="100"/>
              <w:rPr>
                <w:rFonts w:hint="eastAsia" w:ascii="仿宋_GB2312" w:hAnsi="仿宋_GB2312" w:eastAsia="仿宋_GB2312" w:cs="仿宋_GB2312"/>
                <w:sz w:val="24"/>
                <w:szCs w:val="28"/>
                <w:lang w:eastAsia="zh-CN"/>
              </w:rPr>
            </w:pPr>
            <w:r>
              <w:rPr>
                <w:rFonts w:hint="eastAsia" w:ascii="仿宋_GB2312" w:hAnsi="仿宋_GB2312" w:eastAsia="仿宋_GB2312" w:cs="仿宋_GB2312"/>
                <w:b/>
                <w:sz w:val="24"/>
                <w:szCs w:val="28"/>
                <w:lang w:val="en-US" w:eastAsia="zh-CN"/>
              </w:rPr>
              <w:t>1、</w:t>
            </w:r>
            <w:r>
              <w:rPr>
                <w:rFonts w:hint="eastAsia" w:ascii="仿宋_GB2312" w:hAnsi="仿宋_GB2312" w:eastAsia="仿宋_GB2312" w:cs="仿宋_GB2312"/>
                <w:sz w:val="24"/>
                <w:szCs w:val="28"/>
              </w:rPr>
              <w:t>宁夏双玺化工环保设备科技有限公司年产1000台（套）化工专用及环保设备</w:t>
            </w:r>
            <w:r>
              <w:rPr>
                <w:rFonts w:hint="eastAsia" w:ascii="仿宋_GB2312" w:hAnsi="仿宋_GB2312" w:eastAsia="仿宋_GB2312" w:cs="仿宋_GB2312"/>
                <w:sz w:val="24"/>
                <w:szCs w:val="28"/>
                <w:lang w:eastAsia="zh-CN"/>
              </w:rPr>
              <w:t>项目；</w:t>
            </w:r>
          </w:p>
          <w:p>
            <w:pPr>
              <w:widowControl/>
              <w:numPr>
                <w:ilvl w:val="0"/>
                <w:numId w:val="0"/>
              </w:numPr>
              <w:spacing w:line="360" w:lineRule="auto"/>
              <w:ind w:firstLine="240" w:firstLineChars="100"/>
              <w:rPr>
                <w:rFonts w:eastAsia="楷体"/>
                <w:sz w:val="24"/>
                <w:szCs w:val="28"/>
              </w:rPr>
            </w:pPr>
            <w:r>
              <w:rPr>
                <w:rFonts w:hint="eastAsia" w:ascii="仿宋_GB2312" w:hAnsi="仿宋_GB2312" w:eastAsia="仿宋_GB2312" w:cs="仿宋_GB2312"/>
                <w:sz w:val="24"/>
                <w:szCs w:val="28"/>
                <w:lang w:val="en-US" w:eastAsia="zh-CN"/>
              </w:rPr>
              <w:t>2、</w:t>
            </w:r>
            <w:r>
              <w:rPr>
                <w:rFonts w:hint="eastAsia" w:ascii="仿宋_GB2312" w:hAnsi="仿宋_GB2312" w:eastAsia="仿宋_GB2312" w:cs="仿宋_GB2312"/>
                <w:sz w:val="24"/>
                <w:szCs w:val="28"/>
              </w:rPr>
              <w:t>宁夏晟晏实业集团能源循环经济有限公司用电侧智能化节能技改等项目</w:t>
            </w:r>
            <w:r>
              <w:rPr>
                <w:rFonts w:hint="eastAsia" w:ascii="仿宋_GB2312" w:hAnsi="仿宋_GB2312" w:eastAsia="仿宋_GB2312" w:cs="仿宋_GB2312"/>
                <w:sz w:val="24"/>
                <w:szCs w:val="28"/>
                <w:lang w:eastAsia="zh-CN"/>
              </w:rPr>
              <w:t>。</w:t>
            </w:r>
          </w:p>
        </w:tc>
      </w:tr>
    </w:tbl>
    <w:p>
      <w:pPr>
        <w:pStyle w:val="4"/>
        <w:keepNext/>
        <w:keepLines/>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 w:hAnsi="楷体" w:eastAsia="楷体" w:cs="楷体"/>
          <w:color w:val="000000" w:themeColor="text1"/>
          <w:sz w:val="32"/>
          <w:szCs w:val="32"/>
          <w14:textFill>
            <w14:solidFill>
              <w14:schemeClr w14:val="tx1"/>
            </w14:solidFill>
          </w14:textFill>
        </w:rPr>
      </w:pPr>
      <w:bookmarkStart w:id="134" w:name="_Toc6356"/>
      <w:bookmarkStart w:id="135" w:name="_Toc1604642531"/>
      <w:bookmarkStart w:id="136" w:name="_Toc28295"/>
      <w:bookmarkStart w:id="137" w:name="_Toc61883843"/>
      <w:r>
        <w:rPr>
          <w:rFonts w:hint="eastAsia" w:ascii="楷体" w:hAnsi="楷体" w:eastAsia="楷体" w:cs="楷体"/>
          <w:color w:val="000000" w:themeColor="text1"/>
          <w:sz w:val="32"/>
          <w:szCs w:val="32"/>
          <w:lang w:eastAsia="zh-CN"/>
          <w14:textFill>
            <w14:solidFill>
              <w14:schemeClr w14:val="tx1"/>
            </w14:solidFill>
          </w14:textFill>
        </w:rPr>
        <w:t>三、做实做强绿色氰胺产业</w:t>
      </w:r>
      <w:bookmarkEnd w:id="134"/>
      <w:bookmarkEnd w:id="135"/>
      <w:bookmarkEnd w:id="136"/>
      <w:bookmarkEnd w:id="137"/>
    </w:p>
    <w:p>
      <w:pPr>
        <w:pageBreakBefore w:val="0"/>
        <w:widowControl w:val="0"/>
        <w:numPr>
          <w:ilvl w:val="0"/>
          <w:numId w:val="0"/>
        </w:numPr>
        <w:kinsoku/>
        <w:wordWrap/>
        <w:overflowPunct/>
        <w:topLinePunct w:val="0"/>
        <w:autoSpaceDE/>
        <w:autoSpaceDN/>
        <w:bidi w:val="0"/>
        <w:adjustRightInd w:val="0"/>
        <w:snapToGrid w:val="0"/>
        <w:spacing w:line="560" w:lineRule="exact"/>
        <w:ind w:right="0" w:firstLine="640"/>
        <w:textAlignment w:val="auto"/>
        <w:rPr>
          <w:rFonts w:hint="eastAsia" w:ascii="仿宋_GB2312" w:hAnsi="仿宋_GB2312" w:eastAsia="仿宋_GB2312" w:cs="仿宋_GB2312"/>
          <w:color w:val="000000" w:themeColor="text1"/>
          <w:spacing w:val="-12"/>
          <w:w w:val="95"/>
          <w:sz w:val="30"/>
          <w:szCs w:val="30"/>
          <w14:textFill>
            <w14:solidFill>
              <w14:schemeClr w14:val="tx1"/>
            </w14:solidFill>
          </w14:textFill>
        </w:rPr>
      </w:pPr>
      <w:r>
        <w:rPr>
          <w:rFonts w:hint="eastAsia"/>
          <w:b/>
          <w:bCs w:val="0"/>
          <w:color w:val="000000" w:themeColor="text1"/>
          <w:spacing w:val="-12"/>
          <w:w w:val="95"/>
          <w:sz w:val="30"/>
          <w:szCs w:val="30"/>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pacing w:val="-12"/>
          <w:w w:val="95"/>
          <w:sz w:val="30"/>
          <w:szCs w:val="30"/>
          <w14:textFill>
            <w14:solidFill>
              <w14:schemeClr w14:val="tx1"/>
            </w14:solidFill>
          </w14:textFill>
        </w:rPr>
        <w:t>坚持“严控总量、整合优势、淘汰落后、循环</w:t>
      </w:r>
      <w:bookmarkStart w:id="138" w:name="转型升级目标：到2023年，“世界氰胺之都”影响力进一步提升，产值达到100亿元"/>
      <w:bookmarkEnd w:id="138"/>
      <w:bookmarkStart w:id="139" w:name="——氰胺化工。"/>
      <w:bookmarkEnd w:id="139"/>
      <w:bookmarkStart w:id="140" w:name="转型升级方向：积极推动延伸产业链条，重点发展以石灰氮、单氰胺、双氰胺为基础原料的"/>
      <w:bookmarkEnd w:id="140"/>
      <w:r>
        <w:rPr>
          <w:rFonts w:hint="eastAsia" w:ascii="仿宋_GB2312" w:hAnsi="仿宋_GB2312" w:eastAsia="仿宋_GB2312" w:cs="仿宋_GB2312"/>
          <w:color w:val="000000" w:themeColor="text1"/>
          <w:spacing w:val="-12"/>
          <w:w w:val="95"/>
          <w:sz w:val="30"/>
          <w:szCs w:val="30"/>
          <w14:textFill>
            <w14:solidFill>
              <w14:schemeClr w14:val="tx1"/>
            </w14:solidFill>
          </w14:textFill>
        </w:rPr>
        <w:t>发展”的原则，以产业“延链、增链、强链”为主线，全力调整产能、产业、产品结构，到 202</w:t>
      </w:r>
      <w:r>
        <w:rPr>
          <w:rFonts w:hint="eastAsia" w:ascii="仿宋_GB2312" w:hAnsi="仿宋_GB2312" w:eastAsia="仿宋_GB2312" w:cs="仿宋_GB2312"/>
          <w:color w:val="000000" w:themeColor="text1"/>
          <w:spacing w:val="-12"/>
          <w:w w:val="95"/>
          <w:sz w:val="30"/>
          <w:szCs w:val="30"/>
          <w:lang w:val="en-US" w:eastAsia="zh-CN"/>
          <w14:textFill>
            <w14:solidFill>
              <w14:schemeClr w14:val="tx1"/>
            </w14:solidFill>
          </w14:textFill>
        </w:rPr>
        <w:t>5</w:t>
      </w:r>
      <w:r>
        <w:rPr>
          <w:rFonts w:hint="eastAsia" w:ascii="仿宋_GB2312" w:hAnsi="仿宋_GB2312" w:eastAsia="仿宋_GB2312" w:cs="仿宋_GB2312"/>
          <w:color w:val="000000" w:themeColor="text1"/>
          <w:spacing w:val="-12"/>
          <w:w w:val="95"/>
          <w:sz w:val="30"/>
          <w:szCs w:val="30"/>
          <w14:textFill>
            <w14:solidFill>
              <w14:schemeClr w14:val="tx1"/>
            </w14:solidFill>
          </w14:textFill>
        </w:rPr>
        <w:t xml:space="preserve"> 年，“世界氰胺之都”影响力进一步提升，</w:t>
      </w:r>
      <w:r>
        <w:rPr>
          <w:rFonts w:hint="eastAsia" w:ascii="仿宋_GB2312" w:hAnsi="仿宋_GB2312" w:eastAsia="仿宋_GB2312" w:cs="仿宋_GB2312"/>
          <w:color w:val="000000" w:themeColor="text1"/>
          <w:spacing w:val="-12"/>
          <w:w w:val="95"/>
          <w:sz w:val="30"/>
          <w:szCs w:val="30"/>
          <w:lang w:eastAsia="zh-CN"/>
          <w14:textFill>
            <w14:solidFill>
              <w14:schemeClr w14:val="tx1"/>
            </w14:solidFill>
          </w14:textFill>
        </w:rPr>
        <w:t>电石化工上下游</w:t>
      </w:r>
      <w:r>
        <w:rPr>
          <w:rFonts w:hint="eastAsia" w:ascii="仿宋_GB2312" w:hAnsi="仿宋_GB2312" w:eastAsia="仿宋_GB2312" w:cs="仿宋_GB2312"/>
          <w:color w:val="000000" w:themeColor="text1"/>
          <w:spacing w:val="-12"/>
          <w:w w:val="95"/>
          <w:sz w:val="30"/>
          <w:szCs w:val="30"/>
          <w14:textFill>
            <w14:solidFill>
              <w14:schemeClr w14:val="tx1"/>
            </w14:solidFill>
          </w14:textFill>
        </w:rPr>
        <w:t>产值达到1</w:t>
      </w:r>
      <w:r>
        <w:rPr>
          <w:rFonts w:hint="eastAsia" w:ascii="仿宋_GB2312" w:hAnsi="仿宋_GB2312" w:eastAsia="仿宋_GB2312" w:cs="仿宋_GB2312"/>
          <w:color w:val="000000" w:themeColor="text1"/>
          <w:spacing w:val="-12"/>
          <w:w w:val="95"/>
          <w:sz w:val="30"/>
          <w:szCs w:val="30"/>
          <w:lang w:val="en-US" w:eastAsia="zh-CN"/>
          <w14:textFill>
            <w14:solidFill>
              <w14:schemeClr w14:val="tx1"/>
            </w14:solidFill>
          </w14:textFill>
        </w:rPr>
        <w:t>50</w:t>
      </w:r>
      <w:r>
        <w:rPr>
          <w:rFonts w:hint="eastAsia" w:ascii="仿宋_GB2312" w:hAnsi="仿宋_GB2312" w:eastAsia="仿宋_GB2312" w:cs="仿宋_GB2312"/>
          <w:color w:val="000000" w:themeColor="text1"/>
          <w:spacing w:val="-12"/>
          <w:w w:val="95"/>
          <w:sz w:val="30"/>
          <w:szCs w:val="30"/>
          <w14:textFill>
            <w14:solidFill>
              <w14:schemeClr w14:val="tx1"/>
            </w14:solidFill>
          </w14:textFill>
        </w:rPr>
        <w:t>亿元。</w:t>
      </w:r>
    </w:p>
    <w:p>
      <w:pPr>
        <w:pageBreakBefore w:val="0"/>
        <w:widowControl w:val="0"/>
        <w:numPr>
          <w:ilvl w:val="0"/>
          <w:numId w:val="0"/>
        </w:numPr>
        <w:kinsoku/>
        <w:wordWrap/>
        <w:overflowPunct/>
        <w:topLinePunct w:val="0"/>
        <w:autoSpaceDE/>
        <w:autoSpaceDN/>
        <w:bidi w:val="0"/>
        <w:adjustRightInd w:val="0"/>
        <w:snapToGrid w:val="0"/>
        <w:spacing w:line="560" w:lineRule="exact"/>
        <w:ind w:right="0" w:firstLine="640"/>
        <w:textAlignment w:val="auto"/>
        <w:rPr>
          <w:rFonts w:hint="eastAsia" w:ascii="仿宋_GB2312" w:hAnsi="仿宋_GB2312" w:eastAsia="仿宋_GB2312" w:cs="仿宋_GB2312"/>
          <w:b/>
          <w:bCs w:val="0"/>
          <w:color w:val="000000" w:themeColor="text1"/>
          <w:sz w:val="30"/>
          <w:szCs w:val="30"/>
          <w:lang w:eastAsia="zh-CN"/>
          <w14:textFill>
            <w14:solidFill>
              <w14:schemeClr w14:val="tx1"/>
            </w14:solidFill>
          </w14:textFill>
        </w:rPr>
      </w:pPr>
      <w:r>
        <w:rPr>
          <w:rFonts w:hint="eastAsia" w:ascii="仿宋_GB2312" w:hAnsi="仿宋_GB2312" w:eastAsia="仿宋_GB2312" w:cs="仿宋_GB2312"/>
          <w:b/>
          <w:bCs w:val="0"/>
          <w:color w:val="000000" w:themeColor="text1"/>
          <w:sz w:val="30"/>
          <w:szCs w:val="30"/>
          <w:lang w:eastAsia="zh-CN"/>
          <w14:textFill>
            <w14:solidFill>
              <w14:schemeClr w14:val="tx1"/>
            </w14:solidFill>
          </w14:textFill>
        </w:rPr>
        <w:t>推进产学研深度融合。</w:t>
      </w:r>
      <w:r>
        <w:rPr>
          <w:rFonts w:hint="eastAsia" w:ascii="仿宋_GB2312" w:hAnsi="仿宋_GB2312" w:eastAsia="仿宋_GB2312" w:cs="仿宋_GB2312"/>
          <w:bCs/>
          <w:color w:val="000000" w:themeColor="text1"/>
          <w:sz w:val="30"/>
          <w:szCs w:val="30"/>
          <w14:textFill>
            <w14:solidFill>
              <w14:schemeClr w14:val="tx1"/>
            </w14:solidFill>
          </w14:textFill>
        </w:rPr>
        <w:t>依托宁夏氰胺产业工程技术研究中心</w:t>
      </w:r>
      <w:r>
        <w:rPr>
          <w:rFonts w:hint="eastAsia" w:ascii="仿宋_GB2312" w:hAnsi="仿宋_GB2312" w:eastAsia="仿宋_GB2312" w:cs="仿宋_GB2312"/>
          <w:bCs/>
          <w:color w:val="000000" w:themeColor="text1"/>
          <w:sz w:val="30"/>
          <w:szCs w:val="30"/>
          <w:lang w:eastAsia="zh-CN"/>
          <w14:textFill>
            <w14:solidFill>
              <w14:schemeClr w14:val="tx1"/>
            </w14:solidFill>
          </w14:textFill>
        </w:rPr>
        <w:t>、</w:t>
      </w:r>
      <w:r>
        <w:rPr>
          <w:rFonts w:hint="eastAsia" w:ascii="仿宋_GB2312" w:hAnsi="仿宋_GB2312" w:eastAsia="仿宋_GB2312" w:cs="仿宋_GB2312"/>
          <w:bCs/>
          <w:color w:val="000000" w:themeColor="text1"/>
          <w:sz w:val="30"/>
          <w:szCs w:val="30"/>
          <w14:textFill>
            <w14:solidFill>
              <w14:schemeClr w14:val="tx1"/>
            </w14:solidFill>
          </w14:textFill>
        </w:rPr>
        <w:t>中国氰胺产业创新技术创新战略联盟，搭建氰胺产业与技术的衔接平台</w:t>
      </w:r>
      <w:r>
        <w:rPr>
          <w:rFonts w:hint="eastAsia" w:ascii="仿宋_GB2312" w:hAnsi="仿宋_GB2312" w:eastAsia="仿宋_GB2312" w:cs="仿宋_GB2312"/>
          <w:bCs/>
          <w:color w:val="000000" w:themeColor="text1"/>
          <w:sz w:val="30"/>
          <w:szCs w:val="30"/>
          <w:lang w:eastAsia="zh-CN"/>
          <w14:textFill>
            <w14:solidFill>
              <w14:schemeClr w14:val="tx1"/>
            </w14:solidFill>
          </w14:textFill>
        </w:rPr>
        <w:t>，</w:t>
      </w:r>
      <w:r>
        <w:rPr>
          <w:rFonts w:hint="eastAsia" w:ascii="仿宋_GB2312" w:hAnsi="仿宋_GB2312" w:eastAsia="仿宋_GB2312" w:cs="仿宋_GB2312"/>
          <w:bCs/>
          <w:color w:val="000000" w:themeColor="text1"/>
          <w:sz w:val="30"/>
          <w:szCs w:val="30"/>
          <w14:textFill>
            <w14:solidFill>
              <w14:schemeClr w14:val="tx1"/>
            </w14:solidFill>
          </w14:textFill>
        </w:rPr>
        <w:t>通过产学研用相结合，推动氰胺产业创新升级，提升绿色生产、安全生产、自动化生产水平。扶持壮大氰胺产业技术研究院等新型研发机构，加强与</w:t>
      </w:r>
      <w:r>
        <w:rPr>
          <w:rFonts w:hint="eastAsia" w:ascii="仿宋_GB2312" w:hAnsi="仿宋_GB2312" w:eastAsia="仿宋_GB2312" w:cs="仿宋_GB2312"/>
          <w:bCs/>
          <w:color w:val="000000" w:themeColor="text1"/>
          <w:sz w:val="30"/>
          <w:szCs w:val="30"/>
          <w:lang w:eastAsia="zh-CN"/>
          <w14:textFill>
            <w14:solidFill>
              <w14:schemeClr w14:val="tx1"/>
            </w14:solidFill>
          </w14:textFill>
        </w:rPr>
        <w:t>天津大学、兰州大学等</w:t>
      </w:r>
      <w:r>
        <w:rPr>
          <w:rFonts w:hint="eastAsia" w:ascii="仿宋_GB2312" w:hAnsi="仿宋_GB2312" w:eastAsia="仿宋_GB2312" w:cs="仿宋_GB2312"/>
          <w:bCs/>
          <w:color w:val="000000" w:themeColor="text1"/>
          <w:sz w:val="30"/>
          <w:szCs w:val="30"/>
          <w14:textFill>
            <w14:solidFill>
              <w14:schemeClr w14:val="tx1"/>
            </w14:solidFill>
          </w14:textFill>
        </w:rPr>
        <w:t xml:space="preserve">区内外高校、重点实验室等科研院所交流合作、协同攻关，突破关键共性技术及下游产品核心技术。 </w:t>
      </w:r>
    </w:p>
    <w:p>
      <w:pPr>
        <w:pageBreakBefore w:val="0"/>
        <w:widowControl w:val="0"/>
        <w:numPr>
          <w:ilvl w:val="0"/>
          <w:numId w:val="0"/>
        </w:numPr>
        <w:kinsoku/>
        <w:wordWrap/>
        <w:overflowPunct/>
        <w:topLinePunct w:val="0"/>
        <w:autoSpaceDE/>
        <w:autoSpaceDN/>
        <w:bidi w:val="0"/>
        <w:adjustRightInd w:val="0"/>
        <w:snapToGrid w:val="0"/>
        <w:spacing w:line="560" w:lineRule="exact"/>
        <w:ind w:right="0" w:firstLine="640"/>
        <w:textAlignment w:val="auto"/>
        <w:rPr>
          <w:rFonts w:hint="eastAsia" w:ascii="仿宋_GB2312" w:hAnsi="仿宋_GB2312" w:eastAsia="仿宋_GB2312" w:cs="仿宋_GB2312"/>
          <w:bCs/>
          <w:color w:val="000000" w:themeColor="text1"/>
          <w:sz w:val="30"/>
          <w:szCs w:val="30"/>
          <w14:textFill>
            <w14:solidFill>
              <w14:schemeClr w14:val="tx1"/>
            </w14:solidFill>
          </w14:textFill>
        </w:rPr>
      </w:pPr>
      <w:r>
        <w:rPr>
          <w:rFonts w:hint="eastAsia" w:ascii="仿宋_GB2312" w:hAnsi="仿宋_GB2312" w:eastAsia="仿宋_GB2312" w:cs="仿宋_GB2312"/>
          <w:b/>
          <w:bCs w:val="0"/>
          <w:color w:val="000000" w:themeColor="text1"/>
          <w:sz w:val="30"/>
          <w:szCs w:val="30"/>
          <w:lang w:eastAsia="zh-CN"/>
          <w14:textFill>
            <w14:solidFill>
              <w14:schemeClr w14:val="tx1"/>
            </w14:solidFill>
          </w14:textFill>
        </w:rPr>
        <w:t>延伸产品产业链条。</w:t>
      </w:r>
      <w:r>
        <w:rPr>
          <w:rFonts w:hint="eastAsia" w:ascii="仿宋_GB2312" w:hAnsi="仿宋_GB2312" w:eastAsia="仿宋_GB2312" w:cs="仿宋_GB2312"/>
          <w:bCs/>
          <w:color w:val="000000" w:themeColor="text1"/>
          <w:sz w:val="30"/>
          <w:szCs w:val="30"/>
          <w:lang w:eastAsia="zh-CN"/>
          <w14:textFill>
            <w14:solidFill>
              <w14:schemeClr w14:val="tx1"/>
            </w14:solidFill>
          </w14:textFill>
        </w:rPr>
        <w:t>在现有</w:t>
      </w:r>
      <w:r>
        <w:rPr>
          <w:rFonts w:hint="eastAsia" w:ascii="仿宋_GB2312" w:hAnsi="仿宋_GB2312" w:eastAsia="仿宋_GB2312" w:cs="仿宋_GB2312"/>
          <w:bCs/>
          <w:color w:val="000000" w:themeColor="text1"/>
          <w:sz w:val="30"/>
          <w:szCs w:val="30"/>
          <w14:textFill>
            <w14:solidFill>
              <w14:schemeClr w14:val="tx1"/>
            </w14:solidFill>
          </w14:textFill>
        </w:rPr>
        <w:t>电石-石灰氮-双氰胺/单氰胺-胍盐下游系列产品、电石-PVA-PVB电石氰胺产业链</w:t>
      </w:r>
      <w:r>
        <w:rPr>
          <w:rFonts w:hint="eastAsia" w:ascii="仿宋_GB2312" w:hAnsi="仿宋_GB2312" w:eastAsia="仿宋_GB2312" w:cs="仿宋_GB2312"/>
          <w:bCs/>
          <w:color w:val="000000" w:themeColor="text1"/>
          <w:sz w:val="30"/>
          <w:szCs w:val="30"/>
          <w:lang w:eastAsia="zh-CN"/>
          <w14:textFill>
            <w14:solidFill>
              <w14:schemeClr w14:val="tx1"/>
            </w14:solidFill>
          </w14:textFill>
        </w:rPr>
        <w:t>的基础上，重点发展电子级双氰胺、超细双氰胺，发展</w:t>
      </w:r>
      <w:r>
        <w:rPr>
          <w:rFonts w:hint="eastAsia" w:ascii="仿宋_GB2312" w:hAnsi="仿宋_GB2312" w:eastAsia="仿宋_GB2312" w:cs="仿宋_GB2312"/>
          <w:bCs/>
          <w:color w:val="000000" w:themeColor="text1"/>
          <w:sz w:val="30"/>
          <w:szCs w:val="30"/>
          <w14:textFill>
            <w14:solidFill>
              <w14:schemeClr w14:val="tx1"/>
            </w14:solidFill>
          </w14:textFill>
        </w:rPr>
        <w:t>2,4,5-三氨基-6-羟基嘧啶</w:t>
      </w:r>
      <w:r>
        <w:rPr>
          <w:rFonts w:hint="eastAsia" w:ascii="仿宋_GB2312" w:hAnsi="仿宋_GB2312" w:eastAsia="仿宋_GB2312" w:cs="仿宋_GB2312"/>
          <w:bCs/>
          <w:color w:val="000000" w:themeColor="text1"/>
          <w:sz w:val="30"/>
          <w:szCs w:val="30"/>
          <w:lang w:eastAsia="zh-CN"/>
          <w14:textFill>
            <w14:solidFill>
              <w14:schemeClr w14:val="tx1"/>
            </w14:solidFill>
          </w14:textFill>
        </w:rPr>
        <w:t>、</w:t>
      </w:r>
      <w:r>
        <w:rPr>
          <w:rFonts w:hint="eastAsia" w:ascii="仿宋_GB2312" w:hAnsi="仿宋_GB2312" w:eastAsia="仿宋_GB2312" w:cs="仿宋_GB2312"/>
          <w:bCs/>
          <w:color w:val="000000" w:themeColor="text1"/>
          <w:sz w:val="30"/>
          <w:szCs w:val="30"/>
          <w14:textFill>
            <w14:solidFill>
              <w14:schemeClr w14:val="tx1"/>
            </w14:solidFill>
          </w14:textFill>
        </w:rPr>
        <w:t>叶酸</w:t>
      </w:r>
      <w:r>
        <w:rPr>
          <w:rFonts w:hint="eastAsia" w:ascii="仿宋_GB2312" w:hAnsi="仿宋_GB2312" w:eastAsia="仿宋_GB2312" w:cs="仿宋_GB2312"/>
          <w:bCs/>
          <w:color w:val="000000" w:themeColor="text1"/>
          <w:sz w:val="30"/>
          <w:szCs w:val="30"/>
          <w:lang w:eastAsia="zh-CN"/>
          <w14:textFill>
            <w14:solidFill>
              <w14:schemeClr w14:val="tx1"/>
            </w14:solidFill>
          </w14:textFill>
        </w:rPr>
        <w:t>、</w:t>
      </w:r>
      <w:r>
        <w:rPr>
          <w:rFonts w:hint="eastAsia" w:ascii="仿宋_GB2312" w:hAnsi="仿宋_GB2312" w:eastAsia="仿宋_GB2312" w:cs="仿宋_GB2312"/>
          <w:bCs/>
          <w:color w:val="000000" w:themeColor="text1"/>
          <w:sz w:val="30"/>
          <w:szCs w:val="30"/>
          <w14:textFill>
            <w14:solidFill>
              <w14:schemeClr w14:val="tx1"/>
            </w14:solidFill>
          </w14:textFill>
        </w:rPr>
        <w:t>鸟嘌呤</w:t>
      </w:r>
      <w:r>
        <w:rPr>
          <w:rFonts w:hint="eastAsia" w:ascii="仿宋_GB2312" w:hAnsi="仿宋_GB2312" w:eastAsia="仿宋_GB2312" w:cs="仿宋_GB2312"/>
          <w:bCs/>
          <w:color w:val="000000" w:themeColor="text1"/>
          <w:sz w:val="30"/>
          <w:szCs w:val="30"/>
          <w:lang w:eastAsia="zh-CN"/>
          <w14:textFill>
            <w14:solidFill>
              <w14:schemeClr w14:val="tx1"/>
            </w14:solidFill>
          </w14:textFill>
        </w:rPr>
        <w:t>、</w:t>
      </w:r>
      <w:r>
        <w:rPr>
          <w:rFonts w:hint="eastAsia" w:ascii="仿宋_GB2312" w:hAnsi="仿宋_GB2312" w:eastAsia="仿宋_GB2312" w:cs="仿宋_GB2312"/>
          <w:bCs/>
          <w:color w:val="000000" w:themeColor="text1"/>
          <w:sz w:val="30"/>
          <w:szCs w:val="30"/>
          <w14:textFill>
            <w14:solidFill>
              <w14:schemeClr w14:val="tx1"/>
            </w14:solidFill>
          </w14:textFill>
        </w:rPr>
        <w:t>盐酸二甲双胍</w:t>
      </w:r>
      <w:r>
        <w:rPr>
          <w:rFonts w:hint="eastAsia" w:ascii="仿宋_GB2312" w:hAnsi="仿宋_GB2312" w:eastAsia="仿宋_GB2312" w:cs="仿宋_GB2312"/>
          <w:bCs/>
          <w:color w:val="000000" w:themeColor="text1"/>
          <w:sz w:val="30"/>
          <w:szCs w:val="30"/>
          <w:lang w:eastAsia="zh-CN"/>
          <w14:textFill>
            <w14:solidFill>
              <w14:schemeClr w14:val="tx1"/>
            </w14:solidFill>
          </w14:textFill>
        </w:rPr>
        <w:t>、阿昔洛韦、噻虫嗪等医药、农药中间体及成品，</w:t>
      </w:r>
      <w:r>
        <w:rPr>
          <w:rFonts w:hint="eastAsia" w:ascii="仿宋_GB2312" w:hAnsi="仿宋_GB2312" w:eastAsia="仿宋_GB2312" w:cs="仿宋_GB2312"/>
          <w:bCs/>
          <w:color w:val="000000" w:themeColor="text1"/>
          <w:sz w:val="30"/>
          <w:szCs w:val="30"/>
          <w14:textFill>
            <w14:solidFill>
              <w14:schemeClr w14:val="tx1"/>
            </w14:solidFill>
          </w14:textFill>
        </w:rPr>
        <w:t>丰富下游产品体系</w:t>
      </w:r>
      <w:r>
        <w:rPr>
          <w:rFonts w:hint="eastAsia" w:ascii="仿宋_GB2312" w:hAnsi="仿宋_GB2312" w:eastAsia="仿宋_GB2312" w:cs="仿宋_GB2312"/>
          <w:bCs/>
          <w:color w:val="000000" w:themeColor="text1"/>
          <w:sz w:val="30"/>
          <w:szCs w:val="30"/>
          <w:lang w:eastAsia="zh-CN"/>
          <w14:textFill>
            <w14:solidFill>
              <w14:schemeClr w14:val="tx1"/>
            </w14:solidFill>
          </w14:textFill>
        </w:rPr>
        <w:t>，</w:t>
      </w:r>
      <w:r>
        <w:rPr>
          <w:rFonts w:hint="eastAsia" w:ascii="仿宋_GB2312" w:hAnsi="仿宋_GB2312" w:eastAsia="仿宋_GB2312" w:cs="仿宋_GB2312"/>
          <w:bCs/>
          <w:color w:val="000000" w:themeColor="text1"/>
          <w:sz w:val="30"/>
          <w:szCs w:val="30"/>
          <w14:textFill>
            <w14:solidFill>
              <w14:schemeClr w14:val="tx1"/>
            </w14:solidFill>
          </w14:textFill>
        </w:rPr>
        <w:t>实现</w:t>
      </w:r>
      <w:r>
        <w:rPr>
          <w:rFonts w:hint="eastAsia" w:ascii="仿宋_GB2312" w:hAnsi="仿宋_GB2312" w:eastAsia="仿宋_GB2312" w:cs="仿宋_GB2312"/>
          <w:bCs/>
          <w:color w:val="000000" w:themeColor="text1"/>
          <w:sz w:val="30"/>
          <w:szCs w:val="30"/>
          <w:lang w:eastAsia="zh-CN"/>
          <w14:textFill>
            <w14:solidFill>
              <w14:schemeClr w14:val="tx1"/>
            </w14:solidFill>
          </w14:textFill>
        </w:rPr>
        <w:t>氰胺产业</w:t>
      </w:r>
      <w:r>
        <w:rPr>
          <w:rFonts w:hint="eastAsia" w:ascii="仿宋_GB2312" w:hAnsi="仿宋_GB2312" w:eastAsia="仿宋_GB2312" w:cs="仿宋_GB2312"/>
          <w:bCs/>
          <w:color w:val="000000" w:themeColor="text1"/>
          <w:sz w:val="30"/>
          <w:szCs w:val="30"/>
          <w14:textFill>
            <w14:solidFill>
              <w14:schemeClr w14:val="tx1"/>
            </w14:solidFill>
          </w14:textFill>
        </w:rPr>
        <w:t>增链延链强链</w:t>
      </w:r>
      <w:r>
        <w:rPr>
          <w:rFonts w:hint="eastAsia" w:ascii="仿宋_GB2312" w:hAnsi="仿宋_GB2312" w:eastAsia="仿宋_GB2312" w:cs="仿宋_GB2312"/>
          <w:bCs/>
          <w:color w:val="000000" w:themeColor="text1"/>
          <w:sz w:val="30"/>
          <w:szCs w:val="30"/>
          <w:lang w:eastAsia="zh-CN"/>
          <w14:textFill>
            <w14:solidFill>
              <w14:schemeClr w14:val="tx1"/>
            </w14:solidFill>
          </w14:textFill>
        </w:rPr>
        <w:t>。同时，开发电石下游系列产品，依托冠能、滨河永泰等企业发展</w:t>
      </w:r>
      <w:r>
        <w:rPr>
          <w:rFonts w:hint="eastAsia" w:ascii="仿宋_GB2312" w:hAnsi="仿宋_GB2312" w:eastAsia="仿宋_GB2312" w:cs="仿宋_GB2312"/>
          <w:bCs/>
          <w:color w:val="000000" w:themeColor="text1"/>
          <w:sz w:val="30"/>
          <w:szCs w:val="30"/>
          <w:lang w:val="en-US" w:eastAsia="zh-CN"/>
          <w14:textFill>
            <w14:solidFill>
              <w14:schemeClr w14:val="tx1"/>
            </w14:solidFill>
          </w14:textFill>
        </w:rPr>
        <w:t>BDO等系列产品，使平罗电石自用率由21%提高到70%</w:t>
      </w:r>
      <w:r>
        <w:rPr>
          <w:rFonts w:hint="eastAsia" w:ascii="仿宋_GB2312" w:hAnsi="仿宋_GB2312" w:eastAsia="仿宋_GB2312" w:cs="仿宋_GB2312"/>
          <w:bCs/>
          <w:color w:val="000000" w:themeColor="text1"/>
          <w:sz w:val="30"/>
          <w:szCs w:val="30"/>
          <w14:textFill>
            <w14:solidFill>
              <w14:schemeClr w14:val="tx1"/>
            </w14:solidFill>
          </w14:textFill>
        </w:rPr>
        <w:t>。</w:t>
      </w:r>
    </w:p>
    <w:p>
      <w:pPr>
        <w:pageBreakBefore w:val="0"/>
        <w:widowControl w:val="0"/>
        <w:numPr>
          <w:ilvl w:val="0"/>
          <w:numId w:val="0"/>
        </w:numPr>
        <w:kinsoku/>
        <w:wordWrap/>
        <w:overflowPunct/>
        <w:topLinePunct w:val="0"/>
        <w:autoSpaceDE/>
        <w:autoSpaceDN/>
        <w:bidi w:val="0"/>
        <w:adjustRightInd w:val="0"/>
        <w:snapToGrid w:val="0"/>
        <w:spacing w:line="560" w:lineRule="exact"/>
        <w:ind w:right="0" w:firstLine="642"/>
        <w:textAlignment w:val="auto"/>
        <w:rPr>
          <w:rFonts w:hint="eastAsia" w:ascii="仿宋_GB2312" w:hAnsi="仿宋_GB2312" w:eastAsia="仿宋_GB2312" w:cs="仿宋_GB2312"/>
          <w:bCs/>
          <w:color w:val="000000" w:themeColor="text1"/>
          <w:sz w:val="30"/>
          <w:szCs w:val="30"/>
          <w:lang w:eastAsia="zh-CN"/>
          <w14:textFill>
            <w14:solidFill>
              <w14:schemeClr w14:val="tx1"/>
            </w14:solidFill>
          </w14:textFill>
        </w:rPr>
      </w:pPr>
      <w:r>
        <w:rPr>
          <w:rFonts w:hint="eastAsia" w:ascii="仿宋_GB2312" w:hAnsi="仿宋_GB2312" w:eastAsia="仿宋_GB2312" w:cs="仿宋_GB2312"/>
          <w:b/>
          <w:bCs w:val="0"/>
          <w:color w:val="000000" w:themeColor="text1"/>
          <w:sz w:val="30"/>
          <w:szCs w:val="30"/>
          <w:lang w:eastAsia="zh-CN"/>
          <w14:textFill>
            <w14:solidFill>
              <w14:schemeClr w14:val="tx1"/>
            </w14:solidFill>
          </w14:textFill>
        </w:rPr>
        <w:t>鼓励企业绿色发展。</w:t>
      </w:r>
      <w:r>
        <w:rPr>
          <w:rFonts w:hint="eastAsia" w:ascii="仿宋_GB2312" w:hAnsi="仿宋_GB2312" w:eastAsia="仿宋_GB2312" w:cs="仿宋_GB2312"/>
          <w:color w:val="000000" w:themeColor="text1"/>
          <w:spacing w:val="-12"/>
          <w:w w:val="95"/>
          <w:sz w:val="30"/>
          <w:szCs w:val="30"/>
          <w:lang w:eastAsia="zh-CN"/>
          <w14:textFill>
            <w14:solidFill>
              <w14:schemeClr w14:val="tx1"/>
            </w14:solidFill>
          </w14:textFill>
        </w:rPr>
        <w:t>加快</w:t>
      </w:r>
      <w:r>
        <w:rPr>
          <w:rFonts w:hint="eastAsia" w:ascii="仿宋_GB2312" w:hAnsi="仿宋_GB2312" w:eastAsia="仿宋_GB2312" w:cs="仿宋_GB2312"/>
          <w:color w:val="000000" w:themeColor="text1"/>
          <w:spacing w:val="-12"/>
          <w:w w:val="95"/>
          <w:sz w:val="30"/>
          <w:szCs w:val="30"/>
          <w14:textFill>
            <w14:solidFill>
              <w14:schemeClr w14:val="tx1"/>
            </w14:solidFill>
          </w14:textFill>
        </w:rPr>
        <w:t>推广</w:t>
      </w:r>
      <w:r>
        <w:rPr>
          <w:rFonts w:hint="eastAsia" w:ascii="仿宋_GB2312" w:hAnsi="仿宋_GB2312" w:eastAsia="仿宋_GB2312" w:cs="仿宋_GB2312"/>
          <w:color w:val="000000" w:themeColor="text1"/>
          <w:spacing w:val="-12"/>
          <w:w w:val="95"/>
          <w:sz w:val="30"/>
          <w:szCs w:val="30"/>
          <w:lang w:eastAsia="zh-CN"/>
          <w14:textFill>
            <w14:solidFill>
              <w14:schemeClr w14:val="tx1"/>
            </w14:solidFill>
          </w14:textFill>
        </w:rPr>
        <w:t>电石</w:t>
      </w:r>
      <w:r>
        <w:rPr>
          <w:rFonts w:hint="eastAsia" w:ascii="仿宋_GB2312" w:hAnsi="仿宋_GB2312" w:eastAsia="仿宋_GB2312" w:cs="仿宋_GB2312"/>
          <w:color w:val="000000" w:themeColor="text1"/>
          <w:spacing w:val="-12"/>
          <w:w w:val="95"/>
          <w:sz w:val="30"/>
          <w:szCs w:val="30"/>
          <w14:textFill>
            <w14:solidFill>
              <w14:schemeClr w14:val="tx1"/>
            </w14:solidFill>
          </w14:textFill>
        </w:rPr>
        <w:t>尾气、</w:t>
      </w:r>
      <w:r>
        <w:rPr>
          <w:rFonts w:hint="eastAsia" w:ascii="仿宋_GB2312" w:hAnsi="仿宋_GB2312" w:eastAsia="仿宋_GB2312" w:cs="仿宋_GB2312"/>
          <w:color w:val="000000" w:themeColor="text1"/>
          <w:spacing w:val="-12"/>
          <w:w w:val="95"/>
          <w:sz w:val="30"/>
          <w:szCs w:val="30"/>
          <w:lang w:eastAsia="zh-CN"/>
          <w14:textFill>
            <w14:solidFill>
              <w14:schemeClr w14:val="tx1"/>
            </w14:solidFill>
          </w14:textFill>
        </w:rPr>
        <w:t>氰胺</w:t>
      </w:r>
      <w:r>
        <w:rPr>
          <w:rFonts w:hint="eastAsia" w:ascii="仿宋_GB2312" w:hAnsi="仿宋_GB2312" w:eastAsia="仿宋_GB2312" w:cs="仿宋_GB2312"/>
          <w:color w:val="000000" w:themeColor="text1"/>
          <w:spacing w:val="-12"/>
          <w:w w:val="95"/>
          <w:sz w:val="30"/>
          <w:szCs w:val="30"/>
          <w14:textFill>
            <w14:solidFill>
              <w14:schemeClr w14:val="tx1"/>
            </w14:solidFill>
          </w14:textFill>
        </w:rPr>
        <w:t>废渣综合利用新技术，提升产业绿色智能发展水平</w:t>
      </w:r>
      <w:r>
        <w:rPr>
          <w:rFonts w:hint="eastAsia" w:ascii="仿宋_GB2312" w:hAnsi="仿宋_GB2312" w:eastAsia="仿宋_GB2312" w:cs="仿宋_GB2312"/>
          <w:color w:val="000000" w:themeColor="text1"/>
          <w:spacing w:val="-12"/>
          <w:w w:val="95"/>
          <w:sz w:val="30"/>
          <w:szCs w:val="30"/>
          <w:lang w:eastAsia="zh-CN"/>
          <w14:textFill>
            <w14:solidFill>
              <w14:schemeClr w14:val="tx1"/>
            </w14:solidFill>
          </w14:textFill>
        </w:rPr>
        <w:t>，</w:t>
      </w:r>
      <w:r>
        <w:rPr>
          <w:rFonts w:hint="eastAsia" w:ascii="仿宋_GB2312" w:hAnsi="仿宋_GB2312" w:eastAsia="仿宋_GB2312" w:cs="仿宋_GB2312"/>
          <w:bCs/>
          <w:color w:val="000000" w:themeColor="text1"/>
          <w:sz w:val="30"/>
          <w:szCs w:val="30"/>
          <w14:textFill>
            <w14:solidFill>
              <w14:schemeClr w14:val="tx1"/>
            </w14:solidFill>
          </w14:textFill>
        </w:rPr>
        <w:t>大力推动氰胺渣制取硫酸镁、硫酸锌等土壤改良剂，氰胺渣制取无水氯化钙（干燥剂）以及轻质碳酸钙的技术攻关及规模应用。</w:t>
      </w:r>
      <w:r>
        <w:rPr>
          <w:rFonts w:hint="eastAsia" w:ascii="仿宋_GB2312" w:hAnsi="仿宋_GB2312" w:eastAsia="仿宋_GB2312" w:cs="仿宋_GB2312"/>
          <w:bCs/>
          <w:color w:val="000000" w:themeColor="text1"/>
          <w:sz w:val="30"/>
          <w:szCs w:val="30"/>
          <w:lang w:eastAsia="zh-CN"/>
          <w14:textFill>
            <w14:solidFill>
              <w14:schemeClr w14:val="tx1"/>
            </w14:solidFill>
          </w14:textFill>
        </w:rPr>
        <w:t>鼓励企业</w:t>
      </w:r>
      <w:r>
        <w:rPr>
          <w:rFonts w:hint="eastAsia" w:ascii="仿宋_GB2312" w:hAnsi="仿宋_GB2312" w:eastAsia="仿宋_GB2312" w:cs="仿宋_GB2312"/>
          <w:bCs/>
          <w:color w:val="000000" w:themeColor="text1"/>
          <w:sz w:val="30"/>
          <w:szCs w:val="30"/>
          <w14:textFill>
            <w14:solidFill>
              <w14:schemeClr w14:val="tx1"/>
            </w14:solidFill>
          </w14:textFill>
        </w:rPr>
        <w:t>优化</w:t>
      </w:r>
      <w:r>
        <w:rPr>
          <w:rFonts w:hint="eastAsia" w:ascii="仿宋_GB2312" w:hAnsi="仿宋_GB2312" w:eastAsia="仿宋_GB2312" w:cs="仿宋_GB2312"/>
          <w:bCs/>
          <w:color w:val="000000" w:themeColor="text1"/>
          <w:sz w:val="30"/>
          <w:szCs w:val="30"/>
          <w:lang w:eastAsia="zh-CN"/>
          <w14:textFill>
            <w14:solidFill>
              <w14:schemeClr w14:val="tx1"/>
            </w14:solidFill>
          </w14:textFill>
        </w:rPr>
        <w:t>工艺流程</w:t>
      </w:r>
      <w:r>
        <w:rPr>
          <w:rFonts w:hint="eastAsia" w:ascii="仿宋_GB2312" w:hAnsi="仿宋_GB2312" w:eastAsia="仿宋_GB2312" w:cs="仿宋_GB2312"/>
          <w:bCs/>
          <w:color w:val="000000" w:themeColor="text1"/>
          <w:sz w:val="30"/>
          <w:szCs w:val="30"/>
          <w14:textFill>
            <w14:solidFill>
              <w14:schemeClr w14:val="tx1"/>
            </w14:solidFill>
          </w14:textFill>
        </w:rPr>
        <w:t>、提高能源和资源利用率、引入产品生态设计理念</w:t>
      </w:r>
      <w:r>
        <w:rPr>
          <w:rFonts w:hint="eastAsia" w:ascii="仿宋_GB2312" w:hAnsi="仿宋_GB2312" w:eastAsia="仿宋_GB2312" w:cs="仿宋_GB2312"/>
          <w:bCs/>
          <w:color w:val="000000" w:themeColor="text1"/>
          <w:sz w:val="30"/>
          <w:szCs w:val="30"/>
          <w:lang w:eastAsia="zh-CN"/>
          <w14:textFill>
            <w14:solidFill>
              <w14:schemeClr w14:val="tx1"/>
            </w14:solidFill>
          </w14:textFill>
        </w:rPr>
        <w:t>，</w:t>
      </w:r>
      <w:r>
        <w:rPr>
          <w:rFonts w:hint="eastAsia" w:ascii="仿宋_GB2312" w:hAnsi="仿宋_GB2312" w:eastAsia="仿宋_GB2312" w:cs="仿宋_GB2312"/>
          <w:bCs/>
          <w:color w:val="000000" w:themeColor="text1"/>
          <w:sz w:val="30"/>
          <w:szCs w:val="30"/>
          <w14:textFill>
            <w14:solidFill>
              <w14:schemeClr w14:val="tx1"/>
            </w14:solidFill>
          </w14:textFill>
        </w:rPr>
        <w:t>减少环境排放、提升绩效指标</w:t>
      </w:r>
      <w:r>
        <w:rPr>
          <w:rFonts w:hint="eastAsia" w:ascii="仿宋_GB2312" w:hAnsi="仿宋_GB2312" w:eastAsia="仿宋_GB2312" w:cs="仿宋_GB2312"/>
          <w:bCs/>
          <w:color w:val="000000" w:themeColor="text1"/>
          <w:sz w:val="30"/>
          <w:szCs w:val="30"/>
          <w:lang w:eastAsia="zh-CN"/>
          <w14:textFill>
            <w14:solidFill>
              <w14:schemeClr w14:val="tx1"/>
            </w14:solidFill>
          </w14:textFill>
        </w:rPr>
        <w:t>，打造</w:t>
      </w:r>
      <w:r>
        <w:rPr>
          <w:rFonts w:hint="eastAsia" w:ascii="仿宋_GB2312" w:hAnsi="仿宋_GB2312" w:eastAsia="仿宋_GB2312" w:cs="仿宋_GB2312"/>
          <w:bCs/>
          <w:color w:val="000000" w:themeColor="text1"/>
          <w:sz w:val="30"/>
          <w:szCs w:val="30"/>
          <w:lang w:val="en-US" w:eastAsia="zh-CN"/>
          <w14:textFill>
            <w14:solidFill>
              <w14:schemeClr w14:val="tx1"/>
            </w14:solidFill>
          </w14:textFill>
        </w:rPr>
        <w:t>4</w:t>
      </w:r>
      <w:r>
        <w:rPr>
          <w:rFonts w:hint="eastAsia" w:ascii="仿宋_GB2312" w:hAnsi="仿宋_GB2312" w:eastAsia="仿宋_GB2312" w:cs="仿宋_GB2312"/>
          <w:bCs/>
          <w:color w:val="000000" w:themeColor="text1"/>
          <w:sz w:val="30"/>
          <w:szCs w:val="30"/>
          <w:lang w:eastAsia="zh-CN"/>
          <w14:textFill>
            <w14:solidFill>
              <w14:schemeClr w14:val="tx1"/>
            </w14:solidFill>
          </w14:textFill>
        </w:rPr>
        <w:t>个自治区及国家级</w:t>
      </w:r>
      <w:r>
        <w:rPr>
          <w:rFonts w:hint="eastAsia" w:ascii="仿宋_GB2312" w:hAnsi="仿宋_GB2312" w:eastAsia="仿宋_GB2312" w:cs="仿宋_GB2312"/>
          <w:bCs/>
          <w:color w:val="000000" w:themeColor="text1"/>
          <w:sz w:val="30"/>
          <w:szCs w:val="30"/>
          <w14:textFill>
            <w14:solidFill>
              <w14:schemeClr w14:val="tx1"/>
            </w14:solidFill>
          </w14:textFill>
        </w:rPr>
        <w:t>“绿色工厂”</w:t>
      </w:r>
      <w:r>
        <w:rPr>
          <w:rFonts w:hint="eastAsia" w:ascii="仿宋_GB2312" w:hAnsi="仿宋_GB2312" w:eastAsia="仿宋_GB2312" w:cs="仿宋_GB2312"/>
          <w:bCs/>
          <w:color w:val="000000" w:themeColor="text1"/>
          <w:sz w:val="30"/>
          <w:szCs w:val="30"/>
          <w:lang w:eastAsia="zh-CN"/>
          <w14:textFill>
            <w14:solidFill>
              <w14:schemeClr w14:val="tx1"/>
            </w14:solidFill>
          </w14:textFill>
        </w:rPr>
        <w:t>。</w:t>
      </w:r>
    </w:p>
    <w:p>
      <w:pPr>
        <w:pageBreakBefore w:val="0"/>
        <w:widowControl w:val="0"/>
        <w:numPr>
          <w:ilvl w:val="0"/>
          <w:numId w:val="0"/>
        </w:numPr>
        <w:kinsoku/>
        <w:wordWrap/>
        <w:overflowPunct/>
        <w:topLinePunct w:val="0"/>
        <w:autoSpaceDE/>
        <w:autoSpaceDN/>
        <w:bidi w:val="0"/>
        <w:adjustRightInd w:val="0"/>
        <w:snapToGrid w:val="0"/>
        <w:spacing w:line="560" w:lineRule="exact"/>
        <w:ind w:right="0" w:firstLine="3027" w:firstLineChars="1005"/>
        <w:textAlignment w:val="auto"/>
        <w:rPr>
          <w:rFonts w:hint="eastAsia" w:ascii="仿宋_GB2312" w:hAnsi="仿宋_GB2312" w:eastAsia="仿宋_GB2312" w:cs="仿宋_GB2312"/>
          <w:b/>
          <w:bCs/>
          <w:color w:val="000000" w:themeColor="text1"/>
          <w:sz w:val="30"/>
          <w:szCs w:val="30"/>
          <w14:textFill>
            <w14:solidFill>
              <w14:schemeClr w14:val="tx1"/>
            </w14:solidFill>
          </w14:textFill>
        </w:rPr>
      </w:pPr>
    </w:p>
    <w:p>
      <w:pPr>
        <w:pageBreakBefore w:val="0"/>
        <w:widowControl w:val="0"/>
        <w:numPr>
          <w:ilvl w:val="0"/>
          <w:numId w:val="0"/>
        </w:numPr>
        <w:kinsoku/>
        <w:wordWrap/>
        <w:overflowPunct/>
        <w:topLinePunct w:val="0"/>
        <w:autoSpaceDE/>
        <w:autoSpaceDN/>
        <w:bidi w:val="0"/>
        <w:adjustRightInd w:val="0"/>
        <w:snapToGrid w:val="0"/>
        <w:spacing w:line="560" w:lineRule="exact"/>
        <w:ind w:right="0" w:firstLine="3027" w:firstLineChars="1005"/>
        <w:textAlignment w:val="auto"/>
        <w:rPr>
          <w:rFonts w:hint="eastAsia" w:ascii="仿宋_GB2312" w:hAnsi="仿宋_GB2312" w:eastAsia="仿宋_GB2312" w:cs="仿宋_GB2312"/>
          <w:b/>
          <w:bCs/>
          <w:color w:val="000000" w:themeColor="text1"/>
          <w:sz w:val="30"/>
          <w:szCs w:val="30"/>
          <w14:textFill>
            <w14:solidFill>
              <w14:schemeClr w14:val="tx1"/>
            </w14:solidFill>
          </w14:textFill>
        </w:rPr>
      </w:pPr>
    </w:p>
    <w:p>
      <w:pPr>
        <w:pageBreakBefore w:val="0"/>
        <w:widowControl w:val="0"/>
        <w:numPr>
          <w:ilvl w:val="0"/>
          <w:numId w:val="0"/>
        </w:numPr>
        <w:kinsoku/>
        <w:wordWrap/>
        <w:overflowPunct/>
        <w:topLinePunct w:val="0"/>
        <w:autoSpaceDE/>
        <w:autoSpaceDN/>
        <w:bidi w:val="0"/>
        <w:adjustRightInd w:val="0"/>
        <w:snapToGrid w:val="0"/>
        <w:spacing w:line="560" w:lineRule="exact"/>
        <w:ind w:right="0" w:firstLine="3027" w:firstLineChars="1005"/>
        <w:textAlignment w:val="auto"/>
        <w:rPr>
          <w:rFonts w:hint="eastAsia" w:ascii="仿宋_GB2312" w:hAnsi="仿宋_GB2312" w:eastAsia="仿宋_GB2312" w:cs="仿宋_GB2312"/>
          <w:b/>
          <w:bCs/>
          <w:color w:val="000000" w:themeColor="text1"/>
          <w:sz w:val="30"/>
          <w:szCs w:val="30"/>
          <w14:textFill>
            <w14:solidFill>
              <w14:schemeClr w14:val="tx1"/>
            </w14:solidFill>
          </w14:textFill>
        </w:rPr>
      </w:pPr>
    </w:p>
    <w:p>
      <w:pPr>
        <w:pageBreakBefore w:val="0"/>
        <w:widowControl w:val="0"/>
        <w:numPr>
          <w:ilvl w:val="0"/>
          <w:numId w:val="0"/>
        </w:numPr>
        <w:kinsoku/>
        <w:wordWrap/>
        <w:overflowPunct/>
        <w:topLinePunct w:val="0"/>
        <w:autoSpaceDE/>
        <w:autoSpaceDN/>
        <w:bidi w:val="0"/>
        <w:adjustRightInd w:val="0"/>
        <w:snapToGrid w:val="0"/>
        <w:spacing w:line="560" w:lineRule="exact"/>
        <w:ind w:right="0" w:firstLine="3027" w:firstLineChars="1005"/>
        <w:textAlignment w:val="auto"/>
        <w:rPr>
          <w:rFonts w:hint="eastAsia" w:ascii="仿宋_GB2312" w:hAnsi="仿宋_GB2312" w:eastAsia="仿宋_GB2312" w:cs="仿宋_GB2312"/>
          <w:b/>
          <w:bCs/>
          <w:color w:val="000000" w:themeColor="text1"/>
          <w:sz w:val="30"/>
          <w:szCs w:val="30"/>
          <w14:textFill>
            <w14:solidFill>
              <w14:schemeClr w14:val="tx1"/>
            </w14:solidFill>
          </w14:textFill>
        </w:rPr>
      </w:pPr>
    </w:p>
    <w:p>
      <w:pPr>
        <w:pageBreakBefore w:val="0"/>
        <w:widowControl w:val="0"/>
        <w:numPr>
          <w:ilvl w:val="0"/>
          <w:numId w:val="0"/>
        </w:numPr>
        <w:kinsoku/>
        <w:wordWrap/>
        <w:overflowPunct/>
        <w:topLinePunct w:val="0"/>
        <w:autoSpaceDE/>
        <w:autoSpaceDN/>
        <w:bidi w:val="0"/>
        <w:adjustRightInd w:val="0"/>
        <w:snapToGrid w:val="0"/>
        <w:spacing w:line="560" w:lineRule="exact"/>
        <w:ind w:right="0" w:firstLine="3027" w:firstLineChars="1005"/>
        <w:textAlignment w:val="auto"/>
        <w:rPr>
          <w:rFonts w:hint="eastAsia" w:ascii="仿宋_GB2312" w:hAnsi="仿宋_GB2312" w:eastAsia="仿宋_GB2312" w:cs="仿宋_GB2312"/>
          <w:b/>
          <w:bCs/>
          <w:color w:val="000000" w:themeColor="text1"/>
          <w:sz w:val="30"/>
          <w:szCs w:val="30"/>
          <w14:textFill>
            <w14:solidFill>
              <w14:schemeClr w14:val="tx1"/>
            </w14:solidFill>
          </w14:textFill>
        </w:rPr>
      </w:pPr>
    </w:p>
    <w:p>
      <w:pPr>
        <w:pageBreakBefore w:val="0"/>
        <w:widowControl w:val="0"/>
        <w:numPr>
          <w:ilvl w:val="0"/>
          <w:numId w:val="0"/>
        </w:numPr>
        <w:kinsoku/>
        <w:wordWrap/>
        <w:overflowPunct/>
        <w:topLinePunct w:val="0"/>
        <w:autoSpaceDE/>
        <w:autoSpaceDN/>
        <w:bidi w:val="0"/>
        <w:adjustRightInd w:val="0"/>
        <w:snapToGrid w:val="0"/>
        <w:spacing w:line="560" w:lineRule="exact"/>
        <w:ind w:right="0" w:firstLine="3027" w:firstLineChars="1005"/>
        <w:textAlignment w:val="auto"/>
        <w:rPr>
          <w:rFonts w:hint="eastAsia" w:ascii="仿宋_GB2312" w:hAnsi="仿宋_GB2312" w:eastAsia="仿宋_GB2312" w:cs="仿宋_GB2312"/>
          <w:b/>
          <w:bCs/>
          <w:color w:val="000000" w:themeColor="text1"/>
          <w:sz w:val="30"/>
          <w:szCs w:val="30"/>
          <w14:textFill>
            <w14:solidFill>
              <w14:schemeClr w14:val="tx1"/>
            </w14:solidFill>
          </w14:textFill>
        </w:rPr>
      </w:pPr>
    </w:p>
    <w:p>
      <w:pPr>
        <w:pageBreakBefore w:val="0"/>
        <w:widowControl w:val="0"/>
        <w:numPr>
          <w:ilvl w:val="0"/>
          <w:numId w:val="0"/>
        </w:numPr>
        <w:kinsoku/>
        <w:wordWrap/>
        <w:overflowPunct/>
        <w:topLinePunct w:val="0"/>
        <w:autoSpaceDE/>
        <w:autoSpaceDN/>
        <w:bidi w:val="0"/>
        <w:adjustRightInd w:val="0"/>
        <w:snapToGrid w:val="0"/>
        <w:spacing w:line="560" w:lineRule="exact"/>
        <w:ind w:right="0" w:firstLine="3027" w:firstLineChars="1005"/>
        <w:textAlignment w:val="auto"/>
        <w:rPr>
          <w:rFonts w:hint="eastAsia" w:ascii="仿宋_GB2312" w:hAnsi="仿宋_GB2312" w:eastAsia="仿宋_GB2312" w:cs="仿宋_GB2312"/>
          <w:b/>
          <w:bCs/>
          <w:color w:val="000000" w:themeColor="text1"/>
          <w:sz w:val="30"/>
          <w:szCs w:val="30"/>
          <w14:textFill>
            <w14:solidFill>
              <w14:schemeClr w14:val="tx1"/>
            </w14:solidFill>
          </w14:textFill>
        </w:rPr>
      </w:pPr>
    </w:p>
    <w:p>
      <w:pPr>
        <w:pageBreakBefore w:val="0"/>
        <w:widowControl w:val="0"/>
        <w:numPr>
          <w:ilvl w:val="0"/>
          <w:numId w:val="0"/>
        </w:numPr>
        <w:kinsoku/>
        <w:wordWrap/>
        <w:overflowPunct/>
        <w:topLinePunct w:val="0"/>
        <w:autoSpaceDE/>
        <w:autoSpaceDN/>
        <w:bidi w:val="0"/>
        <w:adjustRightInd w:val="0"/>
        <w:snapToGrid w:val="0"/>
        <w:spacing w:line="560" w:lineRule="exact"/>
        <w:ind w:right="0" w:firstLine="3027" w:firstLineChars="1005"/>
        <w:textAlignment w:val="auto"/>
        <w:rPr>
          <w:rFonts w:hint="eastAsia" w:ascii="仿宋_GB2312" w:hAnsi="仿宋_GB2312" w:eastAsia="仿宋_GB2312" w:cs="仿宋_GB2312"/>
          <w:b/>
          <w:bCs/>
          <w:color w:val="000000" w:themeColor="text1"/>
          <w:sz w:val="30"/>
          <w:szCs w:val="30"/>
          <w14:textFill>
            <w14:solidFill>
              <w14:schemeClr w14:val="tx1"/>
            </w14:solidFill>
          </w14:textFill>
        </w:rPr>
      </w:pPr>
    </w:p>
    <w:p>
      <w:pPr>
        <w:pageBreakBefore w:val="0"/>
        <w:widowControl w:val="0"/>
        <w:numPr>
          <w:ilvl w:val="0"/>
          <w:numId w:val="0"/>
        </w:numPr>
        <w:kinsoku/>
        <w:wordWrap/>
        <w:overflowPunct/>
        <w:topLinePunct w:val="0"/>
        <w:autoSpaceDE/>
        <w:autoSpaceDN/>
        <w:bidi w:val="0"/>
        <w:adjustRightInd w:val="0"/>
        <w:snapToGrid w:val="0"/>
        <w:spacing w:line="560" w:lineRule="exact"/>
        <w:ind w:right="0" w:firstLine="3027" w:firstLineChars="1005"/>
        <w:textAlignment w:val="auto"/>
        <w:rPr>
          <w:rFonts w:hint="eastAsia" w:ascii="仿宋_GB2312" w:hAnsi="仿宋_GB2312" w:eastAsia="仿宋_GB2312" w:cs="仿宋_GB2312"/>
          <w:b/>
          <w:bCs/>
          <w:color w:val="000000" w:themeColor="text1"/>
          <w:sz w:val="30"/>
          <w:szCs w:val="30"/>
          <w14:textFill>
            <w14:solidFill>
              <w14:schemeClr w14:val="tx1"/>
            </w14:solidFill>
          </w14:textFill>
        </w:rPr>
      </w:pPr>
    </w:p>
    <w:p>
      <w:pPr>
        <w:pageBreakBefore w:val="0"/>
        <w:widowControl w:val="0"/>
        <w:numPr>
          <w:ilvl w:val="0"/>
          <w:numId w:val="0"/>
        </w:numPr>
        <w:kinsoku/>
        <w:wordWrap/>
        <w:overflowPunct/>
        <w:topLinePunct w:val="0"/>
        <w:autoSpaceDE/>
        <w:autoSpaceDN/>
        <w:bidi w:val="0"/>
        <w:adjustRightInd w:val="0"/>
        <w:snapToGrid w:val="0"/>
        <w:spacing w:line="560" w:lineRule="exact"/>
        <w:ind w:right="0" w:firstLine="3027" w:firstLineChars="1005"/>
        <w:textAlignment w:val="auto"/>
        <w:rPr>
          <w:rFonts w:hint="eastAsia" w:ascii="仿宋_GB2312" w:hAnsi="仿宋_GB2312" w:eastAsia="仿宋_GB2312" w:cs="仿宋_GB2312"/>
          <w:b/>
          <w:bCs/>
          <w:color w:val="000000" w:themeColor="text1"/>
          <w:sz w:val="30"/>
          <w:szCs w:val="30"/>
          <w:lang w:eastAsia="zh-CN"/>
          <w14:textFill>
            <w14:solidFill>
              <w14:schemeClr w14:val="tx1"/>
            </w14:solidFill>
          </w14:textFill>
        </w:rPr>
      </w:pPr>
      <w:r>
        <w:rPr>
          <w:rFonts w:hint="eastAsia" w:ascii="仿宋_GB2312" w:hAnsi="仿宋_GB2312" w:eastAsia="仿宋_GB2312" w:cs="仿宋_GB2312"/>
          <w:b/>
          <w:bCs/>
          <w:color w:val="000000" w:themeColor="text1"/>
          <w:sz w:val="30"/>
          <w:szCs w:val="30"/>
          <w14:textFill>
            <w14:solidFill>
              <w14:schemeClr w14:val="tx1"/>
            </w14:solidFill>
          </w14:textFill>
        </w:rPr>
        <w:t>专栏</w:t>
      </w:r>
      <w:r>
        <w:rPr>
          <w:rFonts w:hint="eastAsia" w:ascii="仿宋_GB2312" w:hAnsi="仿宋_GB2312" w:eastAsia="仿宋_GB2312" w:cs="仿宋_GB2312"/>
          <w:b/>
          <w:bCs/>
          <w:color w:val="000000" w:themeColor="text1"/>
          <w:sz w:val="30"/>
          <w:szCs w:val="30"/>
          <w:lang w:val="en-US" w:eastAsia="zh-CN"/>
          <w14:textFill>
            <w14:solidFill>
              <w14:schemeClr w14:val="tx1"/>
            </w14:solidFill>
          </w14:textFill>
        </w:rPr>
        <w:t>3-1</w:t>
      </w:r>
      <w:r>
        <w:rPr>
          <w:rFonts w:hint="eastAsia" w:ascii="仿宋_GB2312" w:hAnsi="仿宋_GB2312" w:eastAsia="仿宋_GB2312" w:cs="仿宋_GB2312"/>
          <w:b/>
          <w:bCs/>
          <w:color w:val="000000" w:themeColor="text1"/>
          <w:sz w:val="30"/>
          <w:szCs w:val="30"/>
          <w14:textFill>
            <w14:solidFill>
              <w14:schemeClr w14:val="tx1"/>
            </w14:solidFill>
          </w14:textFill>
        </w:rPr>
        <w:tab/>
      </w:r>
      <w:r>
        <w:rPr>
          <w:rFonts w:hint="eastAsia" w:ascii="仿宋_GB2312" w:hAnsi="仿宋_GB2312" w:eastAsia="仿宋_GB2312" w:cs="仿宋_GB2312"/>
          <w:b/>
          <w:bCs/>
          <w:color w:val="000000" w:themeColor="text1"/>
          <w:sz w:val="30"/>
          <w:szCs w:val="30"/>
          <w14:textFill>
            <w14:solidFill>
              <w14:schemeClr w14:val="tx1"/>
            </w14:solidFill>
          </w14:textFill>
        </w:rPr>
        <w:t>氰胺化工</w:t>
      </w:r>
    </w:p>
    <w:p>
      <w:pPr>
        <w:pStyle w:val="8"/>
        <w:tabs>
          <w:tab w:val="left" w:pos="1199"/>
        </w:tabs>
        <w:spacing w:before="149" w:after="22"/>
        <w:ind w:right="57"/>
        <w:jc w:val="center"/>
        <w:rPr>
          <w:rFonts w:hint="eastAsia" w:ascii="仿宋_GB2312" w:hAnsi="仿宋_GB2312" w:eastAsia="仿宋_GB2312" w:cs="仿宋_GB2312"/>
          <w:color w:val="auto"/>
          <w:sz w:val="30"/>
          <w:szCs w:val="30"/>
          <w:lang w:val="en-US" w:eastAsia="zh-CN"/>
        </w:rPr>
      </w:pPr>
      <w:r>
        <w:rPr>
          <w:rFonts w:ascii="黑体" w:hAnsi="仿宋_GB2312" w:eastAsia="仿宋_GB2312" w:cs="仿宋_GB2312"/>
          <w:color w:val="FF0000"/>
          <w:sz w:val="20"/>
          <w:szCs w:val="32"/>
          <w:lang w:val="zh-CN" w:eastAsia="zh-CN" w:bidi="zh-CN"/>
        </w:rPr>
        <mc:AlternateContent>
          <mc:Choice Requires="wps">
            <w:drawing>
              <wp:inline distT="0" distB="0" distL="114300" distR="114300">
                <wp:extent cx="5372100" cy="3481705"/>
                <wp:effectExtent l="4445" t="4445" r="14605" b="19050"/>
                <wp:docPr id="10" name="Quad Arrow 5"/>
                <wp:cNvGraphicFramePr/>
                <a:graphic xmlns:a="http://schemas.openxmlformats.org/drawingml/2006/main">
                  <a:graphicData uri="http://schemas.microsoft.com/office/word/2010/wordprocessingShape">
                    <wps:wsp>
                      <wps:cNvSpPr>
                        <a:spLocks noRot="1"/>
                      </wps:cNvSpPr>
                      <wps:spPr>
                        <a:xfrm>
                          <a:off x="0" y="0"/>
                          <a:ext cx="5372100" cy="3481705"/>
                        </a:xfrm>
                        <a:prstGeom prst="rect">
                          <a:avLst/>
                        </a:prstGeom>
                        <a:noFill/>
                        <a:ln w="6095" cap="flat" cmpd="sng">
                          <a:solidFill>
                            <a:srgbClr val="000000"/>
                          </a:solidFill>
                          <a:prstDash val="solid"/>
                          <a:miter/>
                          <a:headEnd type="none" w="med" len="med"/>
                          <a:tailEnd type="none" w="med" len="med"/>
                        </a:ln>
                      </wps:spPr>
                      <wps:txbx>
                        <w:txbxContent>
                          <w:p>
                            <w:pPr>
                              <w:widowControl w:val="0"/>
                              <w:wordWrap/>
                              <w:autoSpaceDE w:val="0"/>
                              <w:autoSpaceDN w:val="0"/>
                              <w:adjustRightInd/>
                              <w:snapToGrid/>
                              <w:spacing w:before="0" w:after="0" w:line="340" w:lineRule="exact"/>
                              <w:ind w:left="103" w:leftChars="0" w:right="0" w:firstLine="0" w:firstLineChars="0"/>
                              <w:jc w:val="left"/>
                              <w:textAlignment w:val="auto"/>
                              <w:outlineLvl w:val="9"/>
                              <w:rPr>
                                <w:rFonts w:hint="eastAsia" w:ascii="仿宋_GB2312" w:hAnsi="仿宋_GB2312" w:eastAsia="仿宋_GB2312" w:cs="仿宋_GB2312"/>
                                <w:b/>
                                <w:sz w:val="24"/>
                                <w:szCs w:val="24"/>
                              </w:rPr>
                            </w:pP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1306" w:leftChars="48" w:right="0" w:hanging="1205" w:hangingChars="500"/>
                              <w:jc w:val="left"/>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主要产品：</w:t>
                            </w:r>
                            <w:r>
                              <w:rPr>
                                <w:rFonts w:hint="eastAsia" w:ascii="仿宋_GB2312" w:hAnsi="仿宋_GB2312" w:eastAsia="仿宋_GB2312" w:cs="仿宋_GB2312"/>
                                <w:sz w:val="24"/>
                                <w:szCs w:val="24"/>
                              </w:rPr>
                              <w:t>双氰胺、单氰胺、肌酸、胍盐、咪唑烷、噻虫啉、土壤改良剂、复合肥等。</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953" w:leftChars="48" w:right="98" w:hanging="852" w:hangingChars="40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b/>
                                <w:spacing w:val="-8"/>
                                <w:w w:val="95"/>
                                <w:sz w:val="24"/>
                                <w:szCs w:val="24"/>
                              </w:rPr>
                              <w:t>产业链：</w:t>
                            </w:r>
                            <w:r>
                              <w:rPr>
                                <w:rFonts w:hint="eastAsia" w:ascii="仿宋_GB2312" w:hAnsi="仿宋_GB2312" w:eastAsia="仿宋_GB2312" w:cs="仿宋_GB2312"/>
                                <w:spacing w:val="4"/>
                                <w:sz w:val="24"/>
                                <w:szCs w:val="24"/>
                              </w:rPr>
                              <w:t>电石—石灰氮—单氰胺—肌酸/氰基乙酯，电石—石灰氮—单氰胺/双氰胺—胍盐—</w:t>
                            </w:r>
                            <w:r>
                              <w:rPr>
                                <w:rFonts w:hint="eastAsia" w:ascii="仿宋_GB2312" w:hAnsi="仿宋_GB2312" w:eastAsia="仿宋_GB2312" w:cs="仿宋_GB2312"/>
                                <w:w w:val="95"/>
                                <w:sz w:val="24"/>
                                <w:szCs w:val="24"/>
                              </w:rPr>
                              <w:t xml:space="preserve"> </w:t>
                            </w:r>
                            <w:r>
                              <w:rPr>
                                <w:rFonts w:hint="eastAsia" w:ascii="仿宋_GB2312" w:hAnsi="仿宋_GB2312" w:eastAsia="仿宋_GB2312" w:cs="仿宋_GB2312"/>
                                <w:sz w:val="24"/>
                                <w:szCs w:val="24"/>
                              </w:rPr>
                              <w:t>医药（农药</w:t>
                            </w:r>
                            <w:r>
                              <w:rPr>
                                <w:rFonts w:hint="eastAsia" w:ascii="仿宋_GB2312" w:hAnsi="仿宋_GB2312" w:eastAsia="仿宋_GB2312" w:cs="仿宋_GB2312"/>
                                <w:spacing w:val="4"/>
                                <w:sz w:val="24"/>
                                <w:szCs w:val="24"/>
                              </w:rPr>
                              <w:t>）</w:t>
                            </w:r>
                            <w:r>
                              <w:rPr>
                                <w:rFonts w:hint="eastAsia" w:ascii="仿宋_GB2312" w:hAnsi="仿宋_GB2312" w:eastAsia="仿宋_GB2312" w:cs="仿宋_GB2312"/>
                                <w:sz w:val="24"/>
                                <w:szCs w:val="24"/>
                              </w:rPr>
                              <w:t>中间体</w:t>
                            </w:r>
                            <w:r>
                              <w:rPr>
                                <w:rFonts w:hint="eastAsia" w:ascii="仿宋_GB2312" w:hAnsi="仿宋_GB2312" w:eastAsia="仿宋_GB2312" w:cs="仿宋_GB2312"/>
                                <w:spacing w:val="4"/>
                                <w:sz w:val="24"/>
                                <w:szCs w:val="24"/>
                              </w:rPr>
                              <w:t>—</w:t>
                            </w:r>
                            <w:r>
                              <w:rPr>
                                <w:rFonts w:hint="eastAsia" w:ascii="仿宋_GB2312" w:hAnsi="仿宋_GB2312" w:eastAsia="仿宋_GB2312" w:cs="仿宋_GB2312"/>
                                <w:sz w:val="24"/>
                                <w:szCs w:val="24"/>
                              </w:rPr>
                              <w:t>医药产品，电石—石灰氮</w:t>
                            </w:r>
                            <w:r>
                              <w:rPr>
                                <w:rFonts w:hint="eastAsia" w:ascii="仿宋_GB2312" w:hAnsi="仿宋_GB2312" w:eastAsia="仿宋_GB2312" w:cs="仿宋_GB2312"/>
                                <w:spacing w:val="4"/>
                                <w:sz w:val="24"/>
                                <w:szCs w:val="24"/>
                              </w:rPr>
                              <w:t>—</w:t>
                            </w:r>
                            <w:r>
                              <w:rPr>
                                <w:rFonts w:hint="eastAsia" w:ascii="仿宋_GB2312" w:hAnsi="仿宋_GB2312" w:eastAsia="仿宋_GB2312" w:cs="仿宋_GB2312"/>
                                <w:sz w:val="24"/>
                                <w:szCs w:val="24"/>
                              </w:rPr>
                              <w:t>双氰胺—精制双氰胺，电石—石灰氮— 土壤调节改良剂等产业链。</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1065" w:leftChars="48" w:right="0" w:hanging="964" w:hangingChars="400"/>
                              <w:jc w:val="left"/>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对接方向：</w:t>
                            </w:r>
                            <w:r>
                              <w:rPr>
                                <w:rFonts w:hint="eastAsia" w:ascii="仿宋_GB2312" w:hAnsi="仿宋_GB2312" w:eastAsia="仿宋_GB2312" w:cs="仿宋_GB2312"/>
                                <w:sz w:val="24"/>
                                <w:szCs w:val="24"/>
                              </w:rPr>
                              <w:t>中国化工学会、浙江工业大学、天津大学、华东理工大学、兰州大学等</w:t>
                            </w:r>
                            <w:r>
                              <w:rPr>
                                <w:rFonts w:hint="eastAsia" w:ascii="仿宋_GB2312" w:hAnsi="仿宋_GB2312" w:eastAsia="仿宋_GB2312" w:cs="仿宋_GB2312"/>
                                <w:sz w:val="24"/>
                                <w:szCs w:val="24"/>
                                <w:lang w:eastAsia="zh-CN"/>
                              </w:rPr>
                              <w:t>高校</w:t>
                            </w:r>
                            <w:r>
                              <w:rPr>
                                <w:rFonts w:hint="eastAsia" w:ascii="仿宋_GB2312" w:hAnsi="仿宋_GB2312" w:eastAsia="仿宋_GB2312" w:cs="仿宋_GB2312"/>
                                <w:sz w:val="24"/>
                                <w:szCs w:val="24"/>
                              </w:rPr>
                              <w:t>及科研院所。</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1306" w:leftChars="48" w:right="98" w:hanging="1205" w:hangingChars="500"/>
                              <w:jc w:val="left"/>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重点企业：</w:t>
                            </w:r>
                            <w:r>
                              <w:rPr>
                                <w:rFonts w:hint="eastAsia" w:ascii="仿宋_GB2312" w:hAnsi="仿宋_GB2312" w:eastAsia="仿宋_GB2312" w:cs="仿宋_GB2312"/>
                                <w:sz w:val="24"/>
                                <w:szCs w:val="24"/>
                              </w:rPr>
                              <w:t>宁夏贝利特化学股份有限公司、宁夏大地循环发展股份有限公司、</w:t>
                            </w:r>
                            <w:r>
                              <w:rPr>
                                <w:rFonts w:hint="eastAsia" w:ascii="仿宋_GB2312" w:hAnsi="仿宋_GB2312" w:eastAsia="仿宋_GB2312" w:cs="仿宋_GB2312"/>
                                <w:sz w:val="24"/>
                                <w:szCs w:val="24"/>
                                <w:lang w:eastAsia="zh-CN"/>
                              </w:rPr>
                              <w:t>宁夏蓝白黑循环科技有限公司</w:t>
                            </w:r>
                            <w:r>
                              <w:rPr>
                                <w:rFonts w:hint="eastAsia" w:ascii="仿宋_GB2312" w:hAnsi="仿宋_GB2312" w:eastAsia="仿宋_GB2312" w:cs="仿宋_GB2312"/>
                                <w:sz w:val="24"/>
                                <w:szCs w:val="24"/>
                              </w:rPr>
                              <w:t>等。</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1306" w:leftChars="48" w:right="0" w:hanging="1205" w:hangingChars="500"/>
                              <w:jc w:val="left"/>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重点项目：</w:t>
                            </w:r>
                            <w:r>
                              <w:rPr>
                                <w:rFonts w:hint="eastAsia" w:ascii="仿宋_GB2312" w:hAnsi="仿宋_GB2312" w:eastAsia="仿宋_GB2312" w:cs="仿宋_GB2312"/>
                                <w:spacing w:val="-17"/>
                                <w:sz w:val="24"/>
                                <w:szCs w:val="24"/>
                              </w:rPr>
                              <w:t>贝利特</w:t>
                            </w:r>
                            <w:r>
                              <w:rPr>
                                <w:rFonts w:hint="eastAsia" w:ascii="仿宋_GB2312" w:hAnsi="仿宋_GB2312" w:eastAsia="仿宋_GB2312" w:cs="仿宋_GB2312"/>
                                <w:spacing w:val="-17"/>
                                <w:sz w:val="24"/>
                                <w:szCs w:val="24"/>
                                <w:lang w:eastAsia="zh-CN"/>
                              </w:rPr>
                              <w:t>绿氢制绿色化学新材料项目、</w:t>
                            </w:r>
                            <w:r>
                              <w:rPr>
                                <w:rFonts w:hint="eastAsia" w:ascii="仿宋_GB2312" w:hAnsi="仿宋_GB2312" w:eastAsia="仿宋_GB2312" w:cs="仿宋_GB2312"/>
                                <w:spacing w:val="-5"/>
                                <w:sz w:val="24"/>
                                <w:szCs w:val="24"/>
                                <w:lang w:eastAsia="zh-CN"/>
                              </w:rPr>
                              <w:t>太康药业年产6万吨双氰胺、20万吨石灰氮项目（二期）</w:t>
                            </w:r>
                            <w:r>
                              <w:rPr>
                                <w:rFonts w:hint="eastAsia" w:ascii="仿宋_GB2312" w:hAnsi="仿宋_GB2312" w:eastAsia="仿宋_GB2312" w:cs="仿宋_GB2312"/>
                                <w:sz w:val="24"/>
                                <w:szCs w:val="24"/>
                              </w:rPr>
                              <w:t>。</w:t>
                            </w:r>
                          </w:p>
                        </w:txbxContent>
                      </wps:txbx>
                      <wps:bodyPr lIns="0" tIns="0" rIns="0" bIns="0" upright="1"/>
                    </wps:wsp>
                  </a:graphicData>
                </a:graphic>
              </wp:inline>
            </w:drawing>
          </mc:Choice>
          <mc:Fallback>
            <w:pict>
              <v:rect id="Quad Arrow 5" o:spid="_x0000_s1026" o:spt="1" style="height:274.15pt;width:423pt;" filled="f" stroked="t" coordsize="21600,21600" o:gfxdata="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U1AKM1gAAAAUBAAAPAAAAAAAAAAEAIAAAACIAAABkcnMvZG93bnJldi54bWxQSwEC&#10;FAAUAAAACACHTuJAB1MRA/YBAAD/AwAADgAAAAAAAAABACAAAAAlAQAAZHJzL2Uyb0RvYy54bWxQ&#10;SwUGAAAAAAYABgBZAQAAjQUAAAAA&#10;">
                <v:fill on="f" focussize="0,0"/>
                <v:stroke weight="0.47992125984252pt" color="#000000" joinstyle="miter"/>
                <v:imagedata o:title=""/>
                <o:lock v:ext="edit" rotation="t" aspectratio="f"/>
                <v:textbox inset="0mm,0mm,0mm,0mm">
                  <w:txbxContent>
                    <w:p>
                      <w:pPr>
                        <w:widowControl w:val="0"/>
                        <w:wordWrap/>
                        <w:autoSpaceDE w:val="0"/>
                        <w:autoSpaceDN w:val="0"/>
                        <w:adjustRightInd/>
                        <w:snapToGrid/>
                        <w:spacing w:before="0" w:after="0" w:line="340" w:lineRule="exact"/>
                        <w:ind w:left="103" w:leftChars="0" w:right="0" w:firstLine="0" w:firstLineChars="0"/>
                        <w:jc w:val="left"/>
                        <w:textAlignment w:val="auto"/>
                        <w:outlineLvl w:val="9"/>
                        <w:rPr>
                          <w:rFonts w:hint="eastAsia" w:ascii="仿宋_GB2312" w:hAnsi="仿宋_GB2312" w:eastAsia="仿宋_GB2312" w:cs="仿宋_GB2312"/>
                          <w:b/>
                          <w:sz w:val="24"/>
                          <w:szCs w:val="24"/>
                        </w:rPr>
                      </w:pP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1306" w:leftChars="48" w:right="0" w:hanging="1205" w:hangingChars="500"/>
                        <w:jc w:val="left"/>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主要产品：</w:t>
                      </w:r>
                      <w:r>
                        <w:rPr>
                          <w:rFonts w:hint="eastAsia" w:ascii="仿宋_GB2312" w:hAnsi="仿宋_GB2312" w:eastAsia="仿宋_GB2312" w:cs="仿宋_GB2312"/>
                          <w:sz w:val="24"/>
                          <w:szCs w:val="24"/>
                        </w:rPr>
                        <w:t>双氰胺、单氰胺、肌酸、胍盐、咪唑烷、噻虫啉、土壤改良剂、复合肥等。</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953" w:leftChars="48" w:right="98" w:hanging="852" w:hangingChars="40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b/>
                          <w:spacing w:val="-8"/>
                          <w:w w:val="95"/>
                          <w:sz w:val="24"/>
                          <w:szCs w:val="24"/>
                        </w:rPr>
                        <w:t>产业链：</w:t>
                      </w:r>
                      <w:r>
                        <w:rPr>
                          <w:rFonts w:hint="eastAsia" w:ascii="仿宋_GB2312" w:hAnsi="仿宋_GB2312" w:eastAsia="仿宋_GB2312" w:cs="仿宋_GB2312"/>
                          <w:spacing w:val="4"/>
                          <w:sz w:val="24"/>
                          <w:szCs w:val="24"/>
                        </w:rPr>
                        <w:t>电石—石灰氮—单氰胺—肌酸/氰基乙酯，电石—石灰氮—单氰胺/双氰胺—胍盐—</w:t>
                      </w:r>
                      <w:r>
                        <w:rPr>
                          <w:rFonts w:hint="eastAsia" w:ascii="仿宋_GB2312" w:hAnsi="仿宋_GB2312" w:eastAsia="仿宋_GB2312" w:cs="仿宋_GB2312"/>
                          <w:w w:val="95"/>
                          <w:sz w:val="24"/>
                          <w:szCs w:val="24"/>
                        </w:rPr>
                        <w:t xml:space="preserve"> </w:t>
                      </w:r>
                      <w:r>
                        <w:rPr>
                          <w:rFonts w:hint="eastAsia" w:ascii="仿宋_GB2312" w:hAnsi="仿宋_GB2312" w:eastAsia="仿宋_GB2312" w:cs="仿宋_GB2312"/>
                          <w:sz w:val="24"/>
                          <w:szCs w:val="24"/>
                        </w:rPr>
                        <w:t>医药（农药</w:t>
                      </w:r>
                      <w:r>
                        <w:rPr>
                          <w:rFonts w:hint="eastAsia" w:ascii="仿宋_GB2312" w:hAnsi="仿宋_GB2312" w:eastAsia="仿宋_GB2312" w:cs="仿宋_GB2312"/>
                          <w:spacing w:val="4"/>
                          <w:sz w:val="24"/>
                          <w:szCs w:val="24"/>
                        </w:rPr>
                        <w:t>）</w:t>
                      </w:r>
                      <w:r>
                        <w:rPr>
                          <w:rFonts w:hint="eastAsia" w:ascii="仿宋_GB2312" w:hAnsi="仿宋_GB2312" w:eastAsia="仿宋_GB2312" w:cs="仿宋_GB2312"/>
                          <w:sz w:val="24"/>
                          <w:szCs w:val="24"/>
                        </w:rPr>
                        <w:t>中间体</w:t>
                      </w:r>
                      <w:r>
                        <w:rPr>
                          <w:rFonts w:hint="eastAsia" w:ascii="仿宋_GB2312" w:hAnsi="仿宋_GB2312" w:eastAsia="仿宋_GB2312" w:cs="仿宋_GB2312"/>
                          <w:spacing w:val="4"/>
                          <w:sz w:val="24"/>
                          <w:szCs w:val="24"/>
                        </w:rPr>
                        <w:t>—</w:t>
                      </w:r>
                      <w:r>
                        <w:rPr>
                          <w:rFonts w:hint="eastAsia" w:ascii="仿宋_GB2312" w:hAnsi="仿宋_GB2312" w:eastAsia="仿宋_GB2312" w:cs="仿宋_GB2312"/>
                          <w:sz w:val="24"/>
                          <w:szCs w:val="24"/>
                        </w:rPr>
                        <w:t>医药产品，电石—石灰氮</w:t>
                      </w:r>
                      <w:r>
                        <w:rPr>
                          <w:rFonts w:hint="eastAsia" w:ascii="仿宋_GB2312" w:hAnsi="仿宋_GB2312" w:eastAsia="仿宋_GB2312" w:cs="仿宋_GB2312"/>
                          <w:spacing w:val="4"/>
                          <w:sz w:val="24"/>
                          <w:szCs w:val="24"/>
                        </w:rPr>
                        <w:t>—</w:t>
                      </w:r>
                      <w:r>
                        <w:rPr>
                          <w:rFonts w:hint="eastAsia" w:ascii="仿宋_GB2312" w:hAnsi="仿宋_GB2312" w:eastAsia="仿宋_GB2312" w:cs="仿宋_GB2312"/>
                          <w:sz w:val="24"/>
                          <w:szCs w:val="24"/>
                        </w:rPr>
                        <w:t>双氰胺—精制双氰胺，电石—石灰氮— 土壤调节改良剂等产业链。</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1065" w:leftChars="48" w:right="0" w:hanging="964" w:hangingChars="400"/>
                        <w:jc w:val="left"/>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对接方向：</w:t>
                      </w:r>
                      <w:r>
                        <w:rPr>
                          <w:rFonts w:hint="eastAsia" w:ascii="仿宋_GB2312" w:hAnsi="仿宋_GB2312" w:eastAsia="仿宋_GB2312" w:cs="仿宋_GB2312"/>
                          <w:sz w:val="24"/>
                          <w:szCs w:val="24"/>
                        </w:rPr>
                        <w:t>中国化工学会、浙江工业大学、天津大学、华东理工大学、兰州大学等</w:t>
                      </w:r>
                      <w:r>
                        <w:rPr>
                          <w:rFonts w:hint="eastAsia" w:ascii="仿宋_GB2312" w:hAnsi="仿宋_GB2312" w:eastAsia="仿宋_GB2312" w:cs="仿宋_GB2312"/>
                          <w:sz w:val="24"/>
                          <w:szCs w:val="24"/>
                          <w:lang w:eastAsia="zh-CN"/>
                        </w:rPr>
                        <w:t>高校</w:t>
                      </w:r>
                      <w:r>
                        <w:rPr>
                          <w:rFonts w:hint="eastAsia" w:ascii="仿宋_GB2312" w:hAnsi="仿宋_GB2312" w:eastAsia="仿宋_GB2312" w:cs="仿宋_GB2312"/>
                          <w:sz w:val="24"/>
                          <w:szCs w:val="24"/>
                        </w:rPr>
                        <w:t>及科研院所。</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1306" w:leftChars="48" w:right="98" w:hanging="1205" w:hangingChars="500"/>
                        <w:jc w:val="left"/>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重点企业：</w:t>
                      </w:r>
                      <w:r>
                        <w:rPr>
                          <w:rFonts w:hint="eastAsia" w:ascii="仿宋_GB2312" w:hAnsi="仿宋_GB2312" w:eastAsia="仿宋_GB2312" w:cs="仿宋_GB2312"/>
                          <w:sz w:val="24"/>
                          <w:szCs w:val="24"/>
                        </w:rPr>
                        <w:t>宁夏贝利特化学股份有限公司、宁夏大地循环发展股份有限公司、</w:t>
                      </w:r>
                      <w:r>
                        <w:rPr>
                          <w:rFonts w:hint="eastAsia" w:ascii="仿宋_GB2312" w:hAnsi="仿宋_GB2312" w:eastAsia="仿宋_GB2312" w:cs="仿宋_GB2312"/>
                          <w:sz w:val="24"/>
                          <w:szCs w:val="24"/>
                          <w:lang w:eastAsia="zh-CN"/>
                        </w:rPr>
                        <w:t>宁夏蓝白黑循环科技有限公司</w:t>
                      </w:r>
                      <w:r>
                        <w:rPr>
                          <w:rFonts w:hint="eastAsia" w:ascii="仿宋_GB2312" w:hAnsi="仿宋_GB2312" w:eastAsia="仿宋_GB2312" w:cs="仿宋_GB2312"/>
                          <w:sz w:val="24"/>
                          <w:szCs w:val="24"/>
                        </w:rPr>
                        <w:t>等。</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1306" w:leftChars="48" w:right="0" w:hanging="1205" w:hangingChars="500"/>
                        <w:jc w:val="left"/>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重点项目：</w:t>
                      </w:r>
                      <w:r>
                        <w:rPr>
                          <w:rFonts w:hint="eastAsia" w:ascii="仿宋_GB2312" w:hAnsi="仿宋_GB2312" w:eastAsia="仿宋_GB2312" w:cs="仿宋_GB2312"/>
                          <w:spacing w:val="-17"/>
                          <w:sz w:val="24"/>
                          <w:szCs w:val="24"/>
                        </w:rPr>
                        <w:t>贝利特</w:t>
                      </w:r>
                      <w:r>
                        <w:rPr>
                          <w:rFonts w:hint="eastAsia" w:ascii="仿宋_GB2312" w:hAnsi="仿宋_GB2312" w:eastAsia="仿宋_GB2312" w:cs="仿宋_GB2312"/>
                          <w:spacing w:val="-17"/>
                          <w:sz w:val="24"/>
                          <w:szCs w:val="24"/>
                          <w:lang w:eastAsia="zh-CN"/>
                        </w:rPr>
                        <w:t>绿氢制绿色化学新材料项目、</w:t>
                      </w:r>
                      <w:r>
                        <w:rPr>
                          <w:rFonts w:hint="eastAsia" w:ascii="仿宋_GB2312" w:hAnsi="仿宋_GB2312" w:eastAsia="仿宋_GB2312" w:cs="仿宋_GB2312"/>
                          <w:spacing w:val="-5"/>
                          <w:sz w:val="24"/>
                          <w:szCs w:val="24"/>
                          <w:lang w:eastAsia="zh-CN"/>
                        </w:rPr>
                        <w:t>太康药业年产6万吨双氰胺、20万吨石灰氮项目（二期）</w:t>
                      </w:r>
                      <w:r>
                        <w:rPr>
                          <w:rFonts w:hint="eastAsia" w:ascii="仿宋_GB2312" w:hAnsi="仿宋_GB2312" w:eastAsia="仿宋_GB2312" w:cs="仿宋_GB2312"/>
                          <w:sz w:val="24"/>
                          <w:szCs w:val="24"/>
                        </w:rPr>
                        <w:t>。</w:t>
                      </w:r>
                    </w:p>
                  </w:txbxContent>
                </v:textbox>
                <w10:wrap type="none"/>
                <w10:anchorlock/>
              </v:rect>
            </w:pict>
          </mc:Fallback>
        </mc:AlternateContent>
      </w:r>
    </w:p>
    <w:p>
      <w:pPr>
        <w:pStyle w:val="4"/>
        <w:pageBreakBefore w:val="0"/>
        <w:widowControl w:val="0"/>
        <w:kinsoku/>
        <w:wordWrap/>
        <w:overflowPunct/>
        <w:topLinePunct w:val="0"/>
        <w:autoSpaceDE/>
        <w:autoSpaceDN/>
        <w:bidi w:val="0"/>
        <w:spacing w:line="560" w:lineRule="exact"/>
        <w:ind w:firstLine="643" w:firstLineChars="200"/>
        <w:textAlignment w:val="auto"/>
        <w:rPr>
          <w:rFonts w:hint="eastAsia" w:ascii="楷体" w:hAnsi="楷体" w:eastAsia="楷体" w:cs="楷体"/>
          <w:sz w:val="32"/>
          <w:szCs w:val="32"/>
        </w:rPr>
      </w:pPr>
      <w:bookmarkStart w:id="141" w:name="_Toc61883844"/>
      <w:bookmarkStart w:id="142" w:name="_Toc698013532"/>
      <w:bookmarkStart w:id="143" w:name="_Toc31460"/>
      <w:bookmarkStart w:id="144" w:name="_Toc9241"/>
      <w:r>
        <w:rPr>
          <w:rFonts w:hint="eastAsia" w:ascii="楷体" w:hAnsi="楷体" w:eastAsia="楷体" w:cs="楷体"/>
          <w:sz w:val="32"/>
          <w:szCs w:val="32"/>
          <w:lang w:eastAsia="zh-CN"/>
        </w:rPr>
        <w:t>四、</w:t>
      </w:r>
      <w:bookmarkEnd w:id="141"/>
      <w:r>
        <w:rPr>
          <w:rFonts w:hint="eastAsia" w:ascii="楷体" w:hAnsi="楷体" w:eastAsia="楷体" w:cs="楷体"/>
          <w:sz w:val="32"/>
          <w:szCs w:val="32"/>
          <w:lang w:eastAsia="zh-CN"/>
        </w:rPr>
        <w:t>积极培育</w:t>
      </w:r>
      <w:r>
        <w:rPr>
          <w:rFonts w:hint="eastAsia" w:ascii="楷体" w:hAnsi="楷体" w:eastAsia="楷体" w:cs="楷体"/>
          <w:sz w:val="32"/>
          <w:szCs w:val="32"/>
        </w:rPr>
        <w:t>清洁能源</w:t>
      </w:r>
      <w:r>
        <w:rPr>
          <w:rFonts w:hint="eastAsia" w:ascii="楷体" w:hAnsi="楷体" w:eastAsia="楷体" w:cs="楷体"/>
          <w:sz w:val="32"/>
          <w:szCs w:val="32"/>
          <w:lang w:eastAsia="zh-CN"/>
        </w:rPr>
        <w:t>产业</w:t>
      </w:r>
      <w:bookmarkEnd w:id="142"/>
      <w:bookmarkEnd w:id="143"/>
      <w:bookmarkEnd w:id="144"/>
    </w:p>
    <w:p>
      <w:pPr>
        <w:keepNext w:val="0"/>
        <w:keepLines w:val="0"/>
        <w:pageBreakBefore w:val="0"/>
        <w:widowControl w:val="0"/>
        <w:kinsoku/>
        <w:wordWrap/>
        <w:overflowPunct/>
        <w:topLinePunct w:val="0"/>
        <w:autoSpaceDE/>
        <w:autoSpaceDN/>
        <w:bidi w:val="0"/>
        <w:adjustRightInd w:val="0"/>
        <w:snapToGrid w:val="0"/>
        <w:spacing w:line="560" w:lineRule="exact"/>
        <w:ind w:firstLine="600" w:firstLineChars="200"/>
        <w:textAlignment w:val="auto"/>
        <w:rPr>
          <w:rFonts w:hint="default" w:ascii="仿宋_GB2312" w:hAnsi="仿宋_GB2312" w:eastAsia="仿宋_GB2312" w:cs="仿宋_GB2312"/>
          <w:b/>
          <w:bCs/>
          <w:sz w:val="30"/>
          <w:szCs w:val="30"/>
          <w:lang w:val="en-US"/>
        </w:rPr>
      </w:pPr>
      <w:r>
        <w:rPr>
          <w:rFonts w:hint="eastAsia" w:ascii="仿宋_GB2312" w:hAnsi="仿宋_GB2312" w:eastAsia="仿宋_GB2312" w:cs="仿宋_GB2312"/>
          <w:color w:val="auto"/>
          <w:sz w:val="30"/>
          <w:szCs w:val="30"/>
          <w:lang w:val="en-US" w:eastAsia="zh-CN"/>
        </w:rPr>
        <w:t>稳定热电产业规模，推动传统热电产业向清洁煤电绿色升级。</w:t>
      </w:r>
      <w:r>
        <w:rPr>
          <w:rFonts w:hint="eastAsia" w:ascii="仿宋_GB2312" w:hAnsi="仿宋_GB2312" w:eastAsia="仿宋_GB2312" w:cs="仿宋_GB2312"/>
          <w:bCs/>
          <w:color w:val="auto"/>
          <w:sz w:val="30"/>
          <w:szCs w:val="30"/>
        </w:rPr>
        <w:t>以延长产业链条、畅通产业循环为重点，围绕风能、光能、生物质能、氢能等清洁能源产业布局发展清洁能源产业</w:t>
      </w:r>
      <w:r>
        <w:rPr>
          <w:rFonts w:hint="eastAsia" w:ascii="仿宋_GB2312" w:hAnsi="仿宋_GB2312" w:eastAsia="仿宋_GB2312" w:cs="仿宋_GB2312"/>
          <w:bCs/>
          <w:color w:val="auto"/>
          <w:sz w:val="30"/>
          <w:szCs w:val="30"/>
          <w:lang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02" w:firstLineChars="200"/>
        <w:textAlignment w:val="auto"/>
        <w:rPr>
          <w:rFonts w:hint="eastAsia" w:ascii="仿宋_GB2312" w:hAnsi="仿宋_GB2312" w:eastAsia="仿宋_GB2312" w:cs="仿宋_GB2312"/>
          <w:b/>
          <w:bCs/>
          <w:color w:val="0000FF"/>
          <w:sz w:val="30"/>
          <w:szCs w:val="30"/>
        </w:rPr>
      </w:pPr>
      <w:r>
        <w:rPr>
          <w:rFonts w:hint="eastAsia" w:ascii="仿宋_GB2312" w:hAnsi="仿宋_GB2312" w:eastAsia="仿宋_GB2312" w:cs="仿宋_GB2312"/>
          <w:b/>
          <w:bCs/>
          <w:sz w:val="30"/>
          <w:szCs w:val="30"/>
        </w:rPr>
        <w:t>发展思路与目标：</w:t>
      </w:r>
      <w:r>
        <w:rPr>
          <w:rFonts w:hint="eastAsia" w:ascii="仿宋_GB2312" w:hAnsi="仿宋_GB2312" w:eastAsia="仿宋_GB2312" w:cs="仿宋_GB2312"/>
          <w:bCs/>
          <w:sz w:val="30"/>
          <w:szCs w:val="30"/>
        </w:rPr>
        <w:t>以延长产业链条、畅通产业循环为重点，围绕风能、光能、生物质能、氢能等清洁能源产业布局发展清洁能源产业，推动清洁能源开发和产业综合配套一体化发展，壮大清洁能源装备制造配套能力。</w:t>
      </w:r>
      <w:r>
        <w:rPr>
          <w:rFonts w:hint="eastAsia" w:ascii="仿宋_GB2312" w:hAnsi="仿宋_GB2312" w:eastAsia="仿宋_GB2312" w:cs="仿宋_GB2312"/>
          <w:bCs/>
          <w:color w:val="auto"/>
          <w:sz w:val="30"/>
          <w:szCs w:val="30"/>
        </w:rPr>
        <w:t>到2025年，全</w:t>
      </w:r>
      <w:r>
        <w:rPr>
          <w:rFonts w:hint="eastAsia" w:ascii="仿宋_GB2312" w:hAnsi="仿宋_GB2312" w:eastAsia="仿宋_GB2312" w:cs="仿宋_GB2312"/>
          <w:bCs/>
          <w:color w:val="auto"/>
          <w:sz w:val="30"/>
          <w:szCs w:val="30"/>
          <w:lang w:eastAsia="zh-CN"/>
        </w:rPr>
        <w:t>县</w:t>
      </w:r>
      <w:r>
        <w:rPr>
          <w:rFonts w:hint="eastAsia" w:ascii="仿宋_GB2312" w:hAnsi="仿宋_GB2312" w:eastAsia="仿宋_GB2312" w:cs="仿宋_GB2312"/>
          <w:bCs/>
          <w:color w:val="auto"/>
          <w:sz w:val="30"/>
          <w:szCs w:val="30"/>
        </w:rPr>
        <w:t>新能源装机占</w:t>
      </w:r>
      <w:r>
        <w:rPr>
          <w:rFonts w:hint="eastAsia" w:ascii="仿宋_GB2312" w:hAnsi="仿宋_GB2312" w:eastAsia="仿宋_GB2312" w:cs="仿宋_GB2312"/>
          <w:bCs/>
          <w:color w:val="auto"/>
          <w:sz w:val="30"/>
          <w:szCs w:val="30"/>
          <w:lang w:eastAsia="zh-CN"/>
        </w:rPr>
        <w:t>电力装机比重</w:t>
      </w:r>
      <w:r>
        <w:rPr>
          <w:rFonts w:hint="eastAsia" w:ascii="仿宋_GB2312" w:hAnsi="仿宋_GB2312" w:eastAsia="仿宋_GB2312" w:cs="仿宋_GB2312"/>
          <w:bCs/>
          <w:color w:val="auto"/>
          <w:sz w:val="30"/>
          <w:szCs w:val="30"/>
        </w:rPr>
        <w:t>超过20%，建成1-2个氢能利用示范项目</w:t>
      </w:r>
      <w:r>
        <w:rPr>
          <w:rFonts w:hint="eastAsia" w:ascii="仿宋_GB2312" w:hAnsi="仿宋_GB2312" w:eastAsia="仿宋_GB2312" w:cs="仿宋_GB2312"/>
          <w:bCs/>
          <w:color w:val="auto"/>
          <w:sz w:val="30"/>
          <w:szCs w:val="30"/>
          <w:lang w:eastAsia="zh-CN"/>
        </w:rPr>
        <w:t>。</w:t>
      </w:r>
    </w:p>
    <w:p>
      <w:pPr>
        <w:pageBreakBefore w:val="0"/>
        <w:widowControl w:val="0"/>
        <w:kinsoku/>
        <w:wordWrap/>
        <w:overflowPunct/>
        <w:topLinePunct w:val="0"/>
        <w:autoSpaceDE/>
        <w:autoSpaceDN/>
        <w:bidi w:val="0"/>
        <w:adjustRightInd w:val="0"/>
        <w:snapToGrid w:val="0"/>
        <w:spacing w:line="560" w:lineRule="exact"/>
        <w:ind w:firstLine="602" w:firstLineChars="200"/>
        <w:textAlignment w:val="auto"/>
        <w:rPr>
          <w:rFonts w:hint="eastAsia" w:ascii="仿宋_GB2312" w:hAnsi="仿宋_GB2312" w:eastAsia="仿宋_GB2312" w:cs="仿宋_GB2312"/>
          <w:b/>
          <w:bCs/>
          <w:color w:val="000000"/>
          <w:sz w:val="30"/>
          <w:szCs w:val="30"/>
        </w:rPr>
      </w:pPr>
      <w:r>
        <w:rPr>
          <w:rFonts w:hint="eastAsia" w:ascii="仿宋_GB2312" w:hAnsi="仿宋_GB2312" w:eastAsia="仿宋_GB2312" w:cs="仿宋_GB2312"/>
          <w:b/>
          <w:bCs/>
          <w:sz w:val="30"/>
          <w:szCs w:val="30"/>
        </w:rPr>
        <w:t>发展路径与支撑：</w:t>
      </w:r>
      <w:r>
        <w:rPr>
          <w:rFonts w:hint="eastAsia" w:ascii="仿宋_GB2312" w:hAnsi="仿宋_GB2312" w:eastAsia="仿宋_GB2312" w:cs="仿宋_GB2312"/>
          <w:bCs/>
          <w:sz w:val="30"/>
          <w:szCs w:val="30"/>
        </w:rPr>
        <w:t>合理发展清洁能源，加快实施安能生物质热电联产项目，布局实施垃圾发电项目，积极开展荒漠“光伏+生态”治理项目，鼓励园区发展分布式光伏发电应用，因地制宜推进风光互补项目，选择具备条件的区域或企业开展</w:t>
      </w:r>
      <w:r>
        <w:rPr>
          <w:rFonts w:hint="eastAsia" w:ascii="仿宋_GB2312" w:hAnsi="仿宋_GB2312" w:eastAsia="仿宋_GB2312" w:cs="仿宋_GB2312"/>
          <w:bCs/>
          <w:sz w:val="30"/>
          <w:szCs w:val="30"/>
          <w:lang w:eastAsia="zh-CN"/>
        </w:rPr>
        <w:t>源网荷储一体化</w:t>
      </w:r>
      <w:r>
        <w:rPr>
          <w:rFonts w:hint="eastAsia" w:ascii="仿宋_GB2312" w:hAnsi="仿宋_GB2312" w:eastAsia="仿宋_GB2312" w:cs="仿宋_GB2312"/>
          <w:bCs/>
          <w:sz w:val="30"/>
          <w:szCs w:val="30"/>
        </w:rPr>
        <w:t>试点。稳步推进氢能产业发展，探索化工副产氢气回收，推进氯碱、焦化等行业副产氢能综合利用，积极应用高效分布式供能及储运等新技术。进一步开展矿热炉尾气制备甲醇、乙醇等工艺研究，加快工业尾气生物发酵制燃料乙醇项目推广实施。壮大清洁能源装备制造配套能力，支持光伏产品、风电装备、氢燃料电池、储能设备、新能源汽车等制造业发展。大力开展综合能源服务，组织开展重点行业企业碳排放数据核算与核查，探索建立全</w:t>
      </w:r>
      <w:r>
        <w:rPr>
          <w:rFonts w:hint="eastAsia" w:ascii="仿宋_GB2312" w:hAnsi="仿宋_GB2312" w:eastAsia="仿宋_GB2312" w:cs="仿宋_GB2312"/>
          <w:bCs/>
          <w:sz w:val="30"/>
          <w:szCs w:val="30"/>
          <w:lang w:eastAsia="zh-CN"/>
        </w:rPr>
        <w:t>县</w:t>
      </w:r>
      <w:r>
        <w:rPr>
          <w:rFonts w:hint="eastAsia" w:ascii="仿宋_GB2312" w:hAnsi="仿宋_GB2312" w:eastAsia="仿宋_GB2312" w:cs="仿宋_GB2312"/>
          <w:bCs/>
          <w:sz w:val="30"/>
          <w:szCs w:val="30"/>
        </w:rPr>
        <w:t>碳排放总量控制和分解机制，推动运用市场机制以较低成本完成控制碳排放的目标。</w:t>
      </w:r>
    </w:p>
    <w:p>
      <w:pPr>
        <w:pStyle w:val="2"/>
        <w:ind w:left="0" w:leftChars="0" w:firstLine="3012" w:firstLineChars="1000"/>
        <w:rPr>
          <w:rFonts w:hint="eastAsia" w:ascii="仿宋_GB2312" w:hAnsi="仿宋_GB2312" w:eastAsia="仿宋_GB2312" w:cs="仿宋_GB2312"/>
          <w:bCs/>
          <w:sz w:val="30"/>
          <w:szCs w:val="30"/>
        </w:rPr>
      </w:pPr>
      <w:r>
        <w:rPr>
          <w:rFonts w:hint="eastAsia" w:ascii="仿宋_GB2312" w:hAnsi="仿宋_GB2312" w:eastAsia="仿宋_GB2312" w:cs="仿宋_GB2312"/>
          <w:b/>
          <w:bCs/>
          <w:color w:val="000000"/>
          <w:sz w:val="30"/>
          <w:szCs w:val="30"/>
        </w:rPr>
        <w:t>专栏</w:t>
      </w:r>
      <w:r>
        <w:rPr>
          <w:rFonts w:hint="eastAsia" w:ascii="仿宋_GB2312" w:hAnsi="仿宋_GB2312" w:eastAsia="仿宋_GB2312" w:cs="仿宋_GB2312"/>
          <w:b/>
          <w:bCs/>
          <w:color w:val="000000"/>
          <w:sz w:val="30"/>
          <w:szCs w:val="30"/>
          <w:lang w:val="en-US" w:eastAsia="zh-CN"/>
        </w:rPr>
        <w:t>4-1</w:t>
      </w:r>
      <w:r>
        <w:rPr>
          <w:rFonts w:hint="eastAsia" w:ascii="仿宋_GB2312" w:hAnsi="仿宋_GB2312" w:eastAsia="仿宋_GB2312" w:cs="仿宋_GB2312"/>
          <w:b/>
          <w:bCs/>
          <w:color w:val="000000"/>
          <w:sz w:val="30"/>
          <w:szCs w:val="30"/>
        </w:rPr>
        <w:t xml:space="preserve"> 清洁能源</w:t>
      </w:r>
    </w:p>
    <w:tbl>
      <w:tblPr>
        <w:tblStyle w:val="21"/>
        <w:tblW w:w="8325" w:type="dxa"/>
        <w:tblInd w:w="1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8" w:hRule="atLeast"/>
        </w:trPr>
        <w:tc>
          <w:tcPr>
            <w:tcW w:w="8325" w:type="dxa"/>
            <w:vAlign w:val="top"/>
          </w:tcPr>
          <w:p>
            <w:pPr>
              <w:widowControl/>
              <w:spacing w:after="62" w:afterLines="20" w:line="360" w:lineRule="auto"/>
              <w:ind w:firstLine="482" w:firstLineChars="200"/>
              <w:jc w:val="left"/>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重点项目：</w:t>
            </w:r>
          </w:p>
          <w:p>
            <w:pPr>
              <w:widowControl/>
              <w:numPr>
                <w:ilvl w:val="0"/>
                <w:numId w:val="0"/>
              </w:numPr>
              <w:spacing w:after="62" w:afterLines="20" w:line="360" w:lineRule="auto"/>
              <w:ind w:left="210" w:leftChars="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平罗县旭清新能源有限公司平罗高仁45MWp光伏</w:t>
            </w:r>
            <w:r>
              <w:rPr>
                <w:rFonts w:hint="eastAsia" w:ascii="仿宋_GB2312" w:hAnsi="仿宋_GB2312" w:eastAsia="仿宋_GB2312" w:cs="仿宋_GB2312"/>
                <w:sz w:val="24"/>
                <w:szCs w:val="24"/>
                <w:lang w:eastAsia="zh-CN"/>
              </w:rPr>
              <w:t>项目；</w:t>
            </w:r>
          </w:p>
          <w:p>
            <w:pPr>
              <w:widowControl/>
              <w:numPr>
                <w:ilvl w:val="0"/>
                <w:numId w:val="0"/>
              </w:numPr>
              <w:spacing w:after="62" w:afterLines="20" w:line="360" w:lineRule="auto"/>
              <w:ind w:left="210" w:leftChars="0"/>
              <w:jc w:val="left"/>
              <w:rPr>
                <w:rFonts w:eastAsia="楷体"/>
                <w:color w:val="FF0000"/>
                <w:sz w:val="24"/>
                <w:szCs w:val="24"/>
              </w:rPr>
            </w:pPr>
            <w:r>
              <w:rPr>
                <w:rFonts w:hint="eastAsia" w:ascii="仿宋_GB2312" w:hAnsi="仿宋_GB2312" w:eastAsia="仿宋_GB2312" w:cs="仿宋_GB2312"/>
                <w:color w:val="auto"/>
                <w:sz w:val="24"/>
                <w:szCs w:val="24"/>
                <w:lang w:val="en-US" w:eastAsia="zh-CN"/>
              </w:rPr>
              <w:t>2、大唐（平罗）新能源有限公司55</w:t>
            </w:r>
            <w:r>
              <w:rPr>
                <w:rFonts w:hint="eastAsia" w:ascii="仿宋_GB2312" w:hAnsi="仿宋_GB2312" w:eastAsia="仿宋_GB2312" w:cs="仿宋_GB2312"/>
                <w:sz w:val="24"/>
                <w:szCs w:val="24"/>
              </w:rPr>
              <w:t>MWp</w:t>
            </w:r>
            <w:r>
              <w:rPr>
                <w:rFonts w:hint="eastAsia" w:ascii="仿宋_GB2312" w:hAnsi="仿宋_GB2312" w:eastAsia="仿宋_GB2312" w:cs="仿宋_GB2312"/>
                <w:color w:val="auto"/>
                <w:sz w:val="24"/>
                <w:szCs w:val="24"/>
                <w:lang w:val="en-US" w:eastAsia="zh-CN"/>
              </w:rPr>
              <w:t>光伏项目；</w:t>
            </w:r>
          </w:p>
          <w:p>
            <w:pPr>
              <w:widowControl/>
              <w:numPr>
                <w:ilvl w:val="0"/>
                <w:numId w:val="0"/>
              </w:numPr>
              <w:spacing w:after="62" w:afterLines="20" w:line="360" w:lineRule="auto"/>
              <w:ind w:left="210" w:leftChars="0"/>
              <w:jc w:val="left"/>
              <w:rPr>
                <w:rFonts w:hint="default"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3、江苏润阳平罗红崖子100</w:t>
            </w:r>
            <w:r>
              <w:rPr>
                <w:rFonts w:hint="eastAsia" w:ascii="仿宋_GB2312" w:hAnsi="仿宋_GB2312" w:eastAsia="仿宋_GB2312" w:cs="仿宋_GB2312"/>
                <w:sz w:val="24"/>
                <w:szCs w:val="24"/>
              </w:rPr>
              <w:t>MWp</w:t>
            </w:r>
            <w:r>
              <w:rPr>
                <w:rFonts w:hint="eastAsia" w:ascii="仿宋_GB2312" w:hAnsi="仿宋_GB2312" w:eastAsia="仿宋_GB2312" w:cs="仿宋_GB2312"/>
                <w:color w:val="auto"/>
                <w:sz w:val="24"/>
                <w:szCs w:val="24"/>
                <w:lang w:val="en-US" w:eastAsia="zh-CN"/>
              </w:rPr>
              <w:t>光伏复合项目；</w:t>
            </w:r>
          </w:p>
          <w:p>
            <w:pPr>
              <w:widowControl/>
              <w:numPr>
                <w:ilvl w:val="0"/>
                <w:numId w:val="0"/>
              </w:numPr>
              <w:spacing w:after="62" w:afterLines="20" w:line="360" w:lineRule="auto"/>
              <w:ind w:left="210" w:leftChars="0"/>
              <w:jc w:val="lef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sz w:val="24"/>
                <w:szCs w:val="24"/>
                <w:lang w:val="en-US" w:eastAsia="zh-CN"/>
              </w:rPr>
              <w:t>4、</w:t>
            </w:r>
            <w:r>
              <w:rPr>
                <w:rFonts w:hint="eastAsia" w:ascii="仿宋_GB2312" w:hAnsi="仿宋_GB2312" w:eastAsia="仿宋_GB2312" w:cs="仿宋_GB2312"/>
                <w:color w:val="auto"/>
                <w:sz w:val="24"/>
                <w:szCs w:val="24"/>
                <w:lang w:val="en-US" w:eastAsia="zh-CN"/>
              </w:rPr>
              <w:t>宁夏首朗吉元新能源科技有限公司年产4.5万吨燃料乙醇及环保技改项目；</w:t>
            </w:r>
          </w:p>
          <w:p>
            <w:pPr>
              <w:widowControl/>
              <w:numPr>
                <w:ilvl w:val="0"/>
                <w:numId w:val="0"/>
              </w:numPr>
              <w:spacing w:after="62" w:afterLines="20" w:line="360" w:lineRule="auto"/>
              <w:ind w:left="210" w:leftChars="0"/>
              <w:jc w:val="left"/>
              <w:rPr>
                <w:rFonts w:eastAsia="楷体"/>
                <w:color w:val="FF0000"/>
                <w:sz w:val="22"/>
                <w:szCs w:val="32"/>
              </w:rPr>
            </w:pPr>
            <w:r>
              <w:rPr>
                <w:rFonts w:hint="eastAsia" w:ascii="仿宋_GB2312" w:hAnsi="仿宋_GB2312" w:eastAsia="仿宋_GB2312" w:cs="仿宋_GB2312"/>
                <w:color w:val="auto"/>
                <w:sz w:val="24"/>
                <w:szCs w:val="24"/>
                <w:lang w:val="en-US" w:eastAsia="zh-CN"/>
              </w:rPr>
              <w:t>5、宁夏滨泽新能源科技有限公司年产4.5万吨燃料乙醇项目。</w:t>
            </w:r>
          </w:p>
        </w:tc>
      </w:tr>
    </w:tbl>
    <w:p>
      <w:pPr>
        <w:pStyle w:val="4"/>
        <w:pageBreakBefore w:val="0"/>
        <w:widowControl w:val="0"/>
        <w:kinsoku/>
        <w:wordWrap/>
        <w:overflowPunct/>
        <w:topLinePunct w:val="0"/>
        <w:autoSpaceDE/>
        <w:autoSpaceDN/>
        <w:bidi w:val="0"/>
        <w:spacing w:line="560" w:lineRule="exact"/>
        <w:ind w:firstLine="643" w:firstLineChars="200"/>
        <w:textAlignment w:val="auto"/>
        <w:rPr>
          <w:rFonts w:hint="eastAsia" w:ascii="楷体" w:hAnsi="楷体" w:eastAsia="楷体" w:cs="楷体"/>
          <w:sz w:val="32"/>
          <w:szCs w:val="32"/>
        </w:rPr>
      </w:pPr>
      <w:bookmarkStart w:id="145" w:name="_Toc61883847"/>
      <w:bookmarkStart w:id="146" w:name="_Toc1753687812"/>
      <w:bookmarkStart w:id="147" w:name="_Toc29083"/>
      <w:bookmarkStart w:id="148" w:name="_Toc5954"/>
      <w:r>
        <w:rPr>
          <w:rFonts w:hint="eastAsia" w:ascii="楷体" w:hAnsi="楷体" w:eastAsia="楷体" w:cs="楷体"/>
          <w:sz w:val="32"/>
          <w:szCs w:val="32"/>
          <w:lang w:val="en-US" w:eastAsia="zh-CN"/>
        </w:rPr>
        <w:t>五、</w:t>
      </w:r>
      <w:bookmarkEnd w:id="145"/>
      <w:r>
        <w:rPr>
          <w:rFonts w:hint="eastAsia" w:ascii="楷体" w:hAnsi="楷体" w:eastAsia="楷体" w:cs="楷体"/>
          <w:sz w:val="32"/>
          <w:szCs w:val="32"/>
          <w:lang w:eastAsia="zh-CN"/>
        </w:rPr>
        <w:t>加快发展</w:t>
      </w:r>
      <w:r>
        <w:rPr>
          <w:rFonts w:hint="eastAsia" w:ascii="楷体" w:hAnsi="楷体" w:eastAsia="楷体" w:cs="楷体"/>
          <w:sz w:val="32"/>
          <w:szCs w:val="32"/>
        </w:rPr>
        <w:t>特色优质绿色食品</w:t>
      </w:r>
      <w:bookmarkEnd w:id="146"/>
      <w:bookmarkEnd w:id="147"/>
      <w:bookmarkEnd w:id="148"/>
    </w:p>
    <w:p>
      <w:pPr>
        <w:pageBreakBefore w:val="0"/>
        <w:widowControl w:val="0"/>
        <w:kinsoku/>
        <w:wordWrap/>
        <w:overflowPunct/>
        <w:topLinePunct w:val="0"/>
        <w:autoSpaceDE/>
        <w:autoSpaceDN/>
        <w:bidi w:val="0"/>
        <w:adjustRightInd w:val="0"/>
        <w:snapToGrid w:val="0"/>
        <w:spacing w:line="560" w:lineRule="exact"/>
        <w:ind w:firstLine="602" w:firstLineChars="200"/>
        <w:textAlignment w:val="auto"/>
        <w:rPr>
          <w:rFonts w:hint="eastAsia" w:ascii="仿宋_GB2312" w:hAnsi="仿宋_GB2312" w:eastAsia="仿宋_GB2312" w:cs="仿宋_GB2312"/>
          <w:sz w:val="30"/>
          <w:szCs w:val="30"/>
        </w:rPr>
      </w:pPr>
      <w:r>
        <w:rPr>
          <w:rFonts w:hint="eastAsia" w:ascii="仿宋_GB2312" w:hAnsi="仿宋_GB2312" w:eastAsia="仿宋_GB2312" w:cs="仿宋_GB2312"/>
          <w:b/>
          <w:bCs/>
          <w:sz w:val="30"/>
          <w:szCs w:val="30"/>
        </w:rPr>
        <w:t>发展思路与目标：</w:t>
      </w:r>
      <w:r>
        <w:rPr>
          <w:rFonts w:hint="eastAsia" w:ascii="仿宋_GB2312" w:hAnsi="仿宋_GB2312" w:eastAsia="仿宋_GB2312" w:cs="仿宋_GB2312"/>
          <w:sz w:val="30"/>
          <w:szCs w:val="30"/>
        </w:rPr>
        <w:t>积极融入国内大循环，把握扩大内需和提升品质的战略机遇，发挥“珍硒</w:t>
      </w:r>
      <w:r>
        <w:rPr>
          <w:rFonts w:hint="eastAsia" w:ascii="仿宋_GB2312" w:hAnsi="仿宋_GB2312" w:eastAsia="仿宋_GB2312" w:cs="仿宋_GB2312"/>
          <w:sz w:val="30"/>
          <w:szCs w:val="30"/>
          <w:lang w:eastAsia="zh-CN"/>
        </w:rPr>
        <w:t>平罗</w:t>
      </w:r>
      <w:r>
        <w:rPr>
          <w:rFonts w:hint="eastAsia" w:ascii="仿宋_GB2312" w:hAnsi="仿宋_GB2312" w:eastAsia="仿宋_GB2312" w:cs="仿宋_GB2312"/>
          <w:sz w:val="30"/>
          <w:szCs w:val="30"/>
        </w:rPr>
        <w:t>”区域公用品牌优势，重点发展农副产品加工、高端奶制品、葡萄酒、枸杞深加工、牛羊肉制品等特色优质绿色食品。</w:t>
      </w:r>
    </w:p>
    <w:p>
      <w:pPr>
        <w:pageBreakBefore w:val="0"/>
        <w:widowControl w:val="0"/>
        <w:kinsoku/>
        <w:wordWrap/>
        <w:overflowPunct/>
        <w:topLinePunct w:val="0"/>
        <w:autoSpaceDE/>
        <w:autoSpaceDN/>
        <w:bidi w:val="0"/>
        <w:adjustRightInd w:val="0"/>
        <w:snapToGrid w:val="0"/>
        <w:spacing w:line="560" w:lineRule="exact"/>
        <w:ind w:firstLine="602" w:firstLineChars="200"/>
        <w:textAlignment w:val="auto"/>
        <w:rPr>
          <w:rFonts w:hint="eastAsia" w:ascii="仿宋_GB2312" w:hAnsi="仿宋_GB2312" w:eastAsia="仿宋_GB2312" w:cs="仿宋_GB2312"/>
          <w:sz w:val="30"/>
          <w:szCs w:val="30"/>
        </w:rPr>
      </w:pPr>
      <w:r>
        <w:rPr>
          <w:rFonts w:hint="eastAsia" w:ascii="仿宋_GB2312" w:hAnsi="仿宋_GB2312" w:eastAsia="仿宋_GB2312" w:cs="仿宋_GB2312"/>
          <w:b/>
          <w:bCs/>
          <w:sz w:val="30"/>
          <w:szCs w:val="30"/>
        </w:rPr>
        <w:t>发展路径与支撑：</w:t>
      </w:r>
      <w:r>
        <w:rPr>
          <w:rFonts w:hint="eastAsia" w:ascii="仿宋_GB2312" w:hAnsi="仿宋_GB2312" w:eastAsia="仿宋_GB2312" w:cs="仿宋_GB2312"/>
          <w:sz w:val="30"/>
          <w:szCs w:val="30"/>
        </w:rPr>
        <w:t>围绕粮油、瓜菜、乳制品、畜禽肉、葡萄酒、枸杞等，加快建设平罗轻工食品园区长湖农产品（食品）加工园区、平罗绿色农产品加工流通产业园区、通伏大米加工产业园、河东乳制品加工园等一批绿色食品加工集聚区，打造集信息、科研、生产、加工、物流于一体的绿色食品加工园。加快引进培育一批资本聚集度高、核心竞争力强、经济效益显著的企业，推广“工厂+基地+农户”发展模式，持续实施增品种、提品质、创品牌的“三品”战略，推动粮油食品、脱水蔬菜、功能食品、营养食品、保健食品、果蔬饮料等发展壮大。葡萄酒、枸杞产业，以有机枸杞和中高端葡萄酒为方向，扩大枸杞保健饮料和葡萄酒生产规模，走国际化、高端化、品牌化路子。奶产业以河东奶牛养殖为基础，重点发展高端液体乳、常温发酵乳和调制乳等产品，积极开拓发展婴幼儿奶粉、巴氏杀菌乳、奶酪、黄油等高端优势特色产品。肉牛和羊产业，在规模化养殖的基础上，积极引进国内知名龙头企业支持，采用现代冷鲜加工工艺、设备，提高分级加工、分割包装和熟食产品比重，提升产品附加值。</w:t>
      </w:r>
    </w:p>
    <w:p>
      <w:pPr>
        <w:pStyle w:val="2"/>
        <w:ind w:firstLine="3012" w:firstLineChars="1000"/>
        <w:rPr>
          <w:rFonts w:hint="eastAsia" w:ascii="仿宋_GB2312" w:hAnsi="仿宋_GB2312" w:eastAsia="仿宋_GB2312" w:cs="仿宋_GB2312"/>
          <w:sz w:val="30"/>
          <w:szCs w:val="30"/>
        </w:rPr>
      </w:pPr>
      <w:r>
        <w:rPr>
          <w:rFonts w:hint="eastAsia" w:ascii="仿宋_GB2312" w:hAnsi="仿宋_GB2312" w:eastAsia="仿宋_GB2312" w:cs="仿宋_GB2312"/>
          <w:b/>
          <w:bCs/>
          <w:color w:val="000000"/>
          <w:sz w:val="30"/>
          <w:szCs w:val="30"/>
        </w:rPr>
        <w:t>专栏</w:t>
      </w:r>
      <w:r>
        <w:rPr>
          <w:rFonts w:hint="eastAsia" w:ascii="仿宋_GB2312" w:hAnsi="仿宋_GB2312" w:eastAsia="仿宋_GB2312" w:cs="仿宋_GB2312"/>
          <w:b/>
          <w:bCs/>
          <w:color w:val="000000"/>
          <w:sz w:val="30"/>
          <w:szCs w:val="30"/>
          <w:lang w:val="en-US" w:eastAsia="zh-CN"/>
        </w:rPr>
        <w:t>5-1</w:t>
      </w:r>
      <w:r>
        <w:rPr>
          <w:rFonts w:hint="eastAsia" w:ascii="仿宋_GB2312" w:hAnsi="仿宋_GB2312" w:eastAsia="仿宋_GB2312" w:cs="仿宋_GB2312"/>
          <w:b/>
          <w:bCs/>
          <w:color w:val="000000"/>
          <w:sz w:val="30"/>
          <w:szCs w:val="30"/>
        </w:rPr>
        <w:t xml:space="preserve"> 绿色食品</w:t>
      </w:r>
    </w:p>
    <w:tbl>
      <w:tblPr>
        <w:tblStyle w:val="21"/>
        <w:tblW w:w="841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7" w:hRule="atLeast"/>
        </w:trPr>
        <w:tc>
          <w:tcPr>
            <w:tcW w:w="8416" w:type="dxa"/>
            <w:vAlign w:val="top"/>
          </w:tcPr>
          <w:p>
            <w:pPr>
              <w:widowControl/>
              <w:spacing w:line="360" w:lineRule="auto"/>
              <w:ind w:firstLine="562"/>
              <w:jc w:val="left"/>
              <w:rPr>
                <w:rFonts w:eastAsia="楷体"/>
                <w:sz w:val="24"/>
                <w:szCs w:val="28"/>
              </w:rPr>
            </w:pPr>
            <w:r>
              <w:rPr>
                <w:rFonts w:hint="eastAsia" w:ascii="仿宋_GB2312" w:hAnsi="仿宋_GB2312" w:eastAsia="仿宋_GB2312" w:cs="仿宋_GB2312"/>
                <w:b/>
                <w:sz w:val="24"/>
                <w:szCs w:val="28"/>
              </w:rPr>
              <w:t>重点项目：</w:t>
            </w:r>
            <w:r>
              <w:rPr>
                <w:rFonts w:hint="eastAsia" w:ascii="仿宋_GB2312" w:hAnsi="仿宋_GB2312" w:eastAsia="仿宋_GB2312" w:cs="仿宋_GB2312"/>
                <w:color w:val="auto"/>
                <w:sz w:val="24"/>
                <w:szCs w:val="24"/>
                <w:lang w:eastAsia="zh-CN"/>
              </w:rPr>
              <w:t>中粮米业、昊帅米业、超娃米业为代表的大米加工产业链，以汇源食品为代表的果汁饮料生产线，以沙湖辣椒为代表的特色辣酱生产线，以马季为代表的食用油生产线，以沙湖月为代表的特色糕点，</w:t>
            </w:r>
            <w:r>
              <w:rPr>
                <w:rFonts w:hint="eastAsia" w:ascii="仿宋_GB2312" w:hAnsi="仿宋_GB2312" w:eastAsia="仿宋_GB2312" w:cs="仿宋_GB2312"/>
                <w:color w:val="auto"/>
                <w:sz w:val="24"/>
                <w:szCs w:val="24"/>
              </w:rPr>
              <w:t>平罗河东乳制品深加工等项目。</w:t>
            </w:r>
          </w:p>
        </w:tc>
      </w:tr>
    </w:tbl>
    <w:p>
      <w:pPr>
        <w:pStyle w:val="4"/>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 w:hAnsi="楷体" w:eastAsia="楷体" w:cs="楷体"/>
          <w:color w:val="auto"/>
          <w:sz w:val="32"/>
          <w:szCs w:val="32"/>
          <w:lang w:val="en-US" w:eastAsia="zh-CN"/>
        </w:rPr>
      </w:pPr>
      <w:bookmarkStart w:id="149" w:name="_Toc10251"/>
      <w:bookmarkStart w:id="150" w:name="_Toc840503951"/>
      <w:bookmarkStart w:id="151" w:name="_Toc24170"/>
      <w:bookmarkStart w:id="152" w:name="_Toc30098"/>
      <w:bookmarkStart w:id="153" w:name="_Toc23878"/>
      <w:bookmarkStart w:id="154" w:name="_Toc19098"/>
      <w:bookmarkStart w:id="155" w:name="_Toc2433"/>
      <w:r>
        <w:rPr>
          <w:rFonts w:hint="eastAsia" w:ascii="楷体" w:hAnsi="楷体" w:eastAsia="楷体" w:cs="楷体"/>
          <w:color w:val="auto"/>
          <w:sz w:val="32"/>
          <w:szCs w:val="32"/>
          <w:lang w:val="en-US" w:eastAsia="zh-CN"/>
        </w:rPr>
        <w:t>六、加快发展生产性服务业</w:t>
      </w:r>
      <w:bookmarkEnd w:id="149"/>
      <w:bookmarkEnd w:id="150"/>
      <w:bookmarkEnd w:id="151"/>
      <w:bookmarkEnd w:id="152"/>
      <w:bookmarkEnd w:id="153"/>
      <w:bookmarkEnd w:id="154"/>
      <w:bookmarkEnd w:id="155"/>
    </w:p>
    <w:p>
      <w:pPr>
        <w:keepNext w:val="0"/>
        <w:keepLines w:val="0"/>
        <w:pageBreakBefore w:val="0"/>
        <w:widowControl w:val="0"/>
        <w:tabs>
          <w:tab w:val="left" w:pos="1162"/>
        </w:tabs>
        <w:kinsoku/>
        <w:wordWrap/>
        <w:overflowPunct/>
        <w:topLinePunct w:val="0"/>
        <w:autoSpaceDE/>
        <w:autoSpaceDN/>
        <w:bidi w:val="0"/>
        <w:adjustRightInd/>
        <w:snapToGrid/>
        <w:spacing w:line="560" w:lineRule="exact"/>
        <w:ind w:firstLine="600" w:firstLineChars="200"/>
        <w:jc w:val="both"/>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十四五”期间，要紧紧围绕生产发展需求和提升产业核心竞争力，以提升工业密集区产业配套服务能力、促进工业经济转型升级为重点，依托重点工业园区、龙头骨干企业，积极培育发展物流服务、信息服务、科技服务等生产性服务业。大幅提升生产性服务业与生产制造的融合度，增强服务能力，推动全县产业结构转型升级、提质增效，充分发挥生产性服务业在调整产业结构、转变经济发展方式和建立现代产业服务体系中的重要支撑作用。</w:t>
      </w:r>
    </w:p>
    <w:p>
      <w:pPr>
        <w:keepNext w:val="0"/>
        <w:keepLines w:val="0"/>
        <w:pageBreakBefore w:val="0"/>
        <w:widowControl w:val="0"/>
        <w:kinsoku/>
        <w:wordWrap/>
        <w:overflowPunct/>
        <w:topLinePunct w:val="0"/>
        <w:autoSpaceDE/>
        <w:autoSpaceDN/>
        <w:bidi w:val="0"/>
        <w:adjustRightInd/>
        <w:snapToGrid/>
        <w:spacing w:line="560" w:lineRule="exact"/>
        <w:ind w:firstLine="602" w:firstLineChars="200"/>
        <w:jc w:val="both"/>
        <w:textAlignment w:val="auto"/>
        <w:rPr>
          <w:rFonts w:hint="eastAsia" w:ascii="仿宋_GB2312" w:hAnsi="仿宋_GB2312" w:eastAsia="仿宋_GB2312" w:cs="仿宋_GB2312"/>
          <w:b/>
          <w:bCs/>
          <w:color w:val="auto"/>
          <w:sz w:val="30"/>
          <w:szCs w:val="30"/>
          <w:lang w:val="en-US" w:eastAsia="zh-CN"/>
        </w:rPr>
      </w:pPr>
      <w:bookmarkStart w:id="156" w:name="_Toc18969"/>
      <w:bookmarkStart w:id="157" w:name="_Toc17283"/>
      <w:bookmarkStart w:id="158" w:name="_Toc4729"/>
      <w:bookmarkStart w:id="159" w:name="_Toc20264"/>
      <w:bookmarkStart w:id="160" w:name="_Toc4148"/>
      <w:r>
        <w:rPr>
          <w:rFonts w:hint="eastAsia" w:ascii="仿宋_GB2312" w:hAnsi="仿宋_GB2312" w:eastAsia="仿宋_GB2312" w:cs="仿宋_GB2312"/>
          <w:b/>
          <w:bCs/>
          <w:color w:val="auto"/>
          <w:sz w:val="30"/>
          <w:szCs w:val="30"/>
          <w:lang w:val="en-US" w:eastAsia="zh-CN"/>
        </w:rPr>
        <w:t>发展思路及目标</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00" w:firstLineChars="200"/>
        <w:jc w:val="both"/>
        <w:textAlignment w:val="auto"/>
        <w:outlineLvl w:val="9"/>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color w:val="auto"/>
          <w:sz w:val="30"/>
          <w:szCs w:val="30"/>
        </w:rPr>
        <w:t>借力“互联网+”热潮，加快推进大数据、云计算、物联网等新一代信息技术与制造技术融合发展。选择一批重点企业，开展数字化车间和智能工厂示范试点，推广制造执行系统（MES），鼓励企业在生产过程、能耗排放、供应链跟踪、远程服务等环节应用物联网技术和大数据技术，及时分析处理生产过程中的各种数据，实现生产过程的实时监测、故障诊断、质量控制和调度优化，形成连续生产、联网协同、智能管控的制造模式，实现传统产业智能化转型升级，提升产品设计、生产制造、供应链管理、产品营销及服务等环节的智能决策水平和经营效率。支持第三方大数据平台建设，推动大数据在工业行业管理和经济运行中的应用，促进信息共享和数据开放，实现产品、</w:t>
      </w:r>
      <w:r>
        <w:rPr>
          <w:rFonts w:hint="eastAsia" w:ascii="仿宋_GB2312" w:hAnsi="仿宋_GB2312" w:eastAsia="仿宋_GB2312" w:cs="仿宋_GB2312"/>
          <w:color w:val="auto"/>
          <w:sz w:val="30"/>
          <w:szCs w:val="30"/>
          <w:lang w:eastAsia="zh-CN"/>
        </w:rPr>
        <w:t>市</w:t>
      </w:r>
      <w:r>
        <w:rPr>
          <w:rFonts w:hint="eastAsia" w:ascii="仿宋_GB2312" w:hAnsi="仿宋_GB2312" w:eastAsia="仿宋_GB2312" w:cs="仿宋_GB2312"/>
          <w:color w:val="auto"/>
          <w:sz w:val="30"/>
          <w:szCs w:val="30"/>
        </w:rPr>
        <w:t>场和经济运行的动态监控、预测预警，提高行业管理、决策与服务水平。加快完善信用、安全、物流、支付等电子商务支撑服务体系建设，促进工业电子商务平台、第三方物流、互联网金融等业务协同创新和互动发展，推进开放、透明、共享的供应链协作模式。</w:t>
      </w:r>
      <w:r>
        <w:rPr>
          <w:rFonts w:hint="eastAsia" w:ascii="仿宋_GB2312" w:hAnsi="仿宋_GB2312" w:eastAsia="仿宋_GB2312" w:cs="仿宋_GB2312"/>
          <w:color w:val="auto"/>
          <w:sz w:val="30"/>
          <w:szCs w:val="30"/>
          <w:lang w:val="en-US" w:eastAsia="zh-CN"/>
        </w:rPr>
        <w:t>到2025年，实现重点区域、工业园区5G网络全面覆盖；建设企业级大型数据中心3家，建设企业工业上云10家。</w:t>
      </w:r>
    </w:p>
    <w:bookmarkEnd w:id="156"/>
    <w:bookmarkEnd w:id="157"/>
    <w:bookmarkEnd w:id="158"/>
    <w:bookmarkEnd w:id="159"/>
    <w:bookmarkEnd w:id="160"/>
    <w:p>
      <w:pPr>
        <w:pageBreakBefore w:val="0"/>
        <w:widowControl w:val="0"/>
        <w:kinsoku/>
        <w:wordWrap/>
        <w:overflowPunct/>
        <w:topLinePunct w:val="0"/>
        <w:autoSpaceDE/>
        <w:autoSpaceDN/>
        <w:bidi w:val="0"/>
        <w:adjustRightInd/>
        <w:snapToGrid/>
        <w:spacing w:line="560" w:lineRule="exact"/>
        <w:ind w:firstLine="602" w:firstLineChars="200"/>
        <w:textAlignment w:val="auto"/>
        <w:rPr>
          <w:rFonts w:hint="eastAsia" w:ascii="仿宋_GB2312" w:hAnsi="仿宋_GB2312" w:eastAsia="仿宋_GB2312" w:cs="仿宋_GB2312"/>
          <w:b/>
          <w:bCs/>
          <w:sz w:val="30"/>
          <w:szCs w:val="30"/>
        </w:rPr>
      </w:pPr>
      <w:r>
        <w:rPr>
          <w:rFonts w:hint="eastAsia" w:ascii="仿宋_GB2312" w:hAnsi="仿宋_GB2312" w:eastAsia="仿宋_GB2312" w:cs="仿宋_GB2312"/>
          <w:b/>
          <w:bCs/>
          <w:sz w:val="30"/>
          <w:szCs w:val="30"/>
        </w:rPr>
        <w:t>发展路径</w:t>
      </w:r>
    </w:p>
    <w:p>
      <w:pPr>
        <w:pageBreakBefore w:val="0"/>
        <w:widowControl w:val="0"/>
        <w:kinsoku/>
        <w:wordWrap/>
        <w:overflowPunct/>
        <w:topLinePunct w:val="0"/>
        <w:autoSpaceDE/>
        <w:autoSpaceDN/>
        <w:bidi w:val="0"/>
        <w:adjustRightInd/>
        <w:snapToGrid/>
        <w:spacing w:line="560" w:lineRule="exact"/>
        <w:ind w:firstLine="602" w:firstLineChars="200"/>
        <w:textAlignment w:val="auto"/>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sz w:val="30"/>
          <w:szCs w:val="30"/>
          <w:lang w:val="en-US" w:eastAsia="zh-CN"/>
        </w:rPr>
        <w:t>1、生产性物流</w:t>
      </w:r>
    </w:p>
    <w:p>
      <w:pPr>
        <w:pageBreakBefore w:val="0"/>
        <w:widowControl w:val="0"/>
        <w:tabs>
          <w:tab w:val="left" w:pos="966"/>
        </w:tabs>
        <w:kinsoku/>
        <w:wordWrap/>
        <w:overflowPunct/>
        <w:topLinePunct w:val="0"/>
        <w:autoSpaceDE/>
        <w:autoSpaceDN/>
        <w:bidi w:val="0"/>
        <w:adjustRightInd/>
        <w:snapToGrid/>
        <w:spacing w:line="560" w:lineRule="exact"/>
        <w:ind w:firstLine="600" w:firstLineChars="20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加快物流基础设施建设，加快完善园区基础设施，</w:t>
      </w:r>
      <w:r>
        <w:rPr>
          <w:rFonts w:hint="eastAsia" w:ascii="仿宋_GB2312" w:hAnsi="仿宋_GB2312" w:eastAsia="仿宋_GB2312" w:cs="仿宋_GB2312"/>
          <w:color w:val="auto"/>
          <w:sz w:val="30"/>
          <w:szCs w:val="30"/>
          <w:highlight w:val="yellow"/>
          <w:lang w:val="en-US" w:eastAsia="zh-CN"/>
        </w:rPr>
        <w:t>稳步推进--等多式联运发展</w:t>
      </w:r>
      <w:r>
        <w:rPr>
          <w:rFonts w:hint="eastAsia" w:ascii="仿宋_GB2312" w:hAnsi="仿宋_GB2312" w:eastAsia="仿宋_GB2312" w:cs="仿宋_GB2312"/>
          <w:color w:val="auto"/>
          <w:sz w:val="30"/>
          <w:szCs w:val="30"/>
          <w:lang w:val="en-US" w:eastAsia="zh-CN"/>
        </w:rPr>
        <w:t>。打通关键节点，进一步畅通生产企业物流通道，加快技术改造，提升生产企业物流技术水平，为生产制造业与物流业协调发展创造较好的基础条件。</w:t>
      </w:r>
      <w:bookmarkStart w:id="161" w:name="_Toc31303"/>
      <w:bookmarkStart w:id="162" w:name="_Toc24971"/>
      <w:bookmarkStart w:id="163" w:name="_Toc25692"/>
      <w:bookmarkStart w:id="164" w:name="_Toc1644"/>
      <w:bookmarkStart w:id="165" w:name="_Toc3586"/>
    </w:p>
    <w:p>
      <w:pPr>
        <w:pageBreakBefore w:val="0"/>
        <w:widowControl w:val="0"/>
        <w:tabs>
          <w:tab w:val="left" w:pos="966"/>
        </w:tabs>
        <w:kinsoku/>
        <w:wordWrap/>
        <w:overflowPunct/>
        <w:topLinePunct w:val="0"/>
        <w:autoSpaceDE/>
        <w:autoSpaceDN/>
        <w:bidi w:val="0"/>
        <w:adjustRightInd/>
        <w:snapToGrid/>
        <w:spacing w:line="560" w:lineRule="exact"/>
        <w:ind w:firstLine="600" w:firstLineChars="20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b w:val="0"/>
          <w:bCs w:val="0"/>
          <w:color w:val="auto"/>
          <w:sz w:val="30"/>
          <w:szCs w:val="30"/>
          <w:lang w:val="en-US" w:eastAsia="zh-CN"/>
        </w:rPr>
        <w:t>结合我县地理区位条件、产业发展特点、生产企业和园区布局现状，引导和促进物流企业与生</w:t>
      </w:r>
      <w:bookmarkEnd w:id="161"/>
      <w:bookmarkEnd w:id="162"/>
      <w:bookmarkEnd w:id="163"/>
      <w:bookmarkEnd w:id="164"/>
      <w:bookmarkEnd w:id="165"/>
      <w:bookmarkStart w:id="166" w:name="_Toc32215"/>
      <w:bookmarkStart w:id="167" w:name="_Toc19224"/>
      <w:bookmarkStart w:id="168" w:name="_Toc14496"/>
      <w:bookmarkStart w:id="169" w:name="_Toc23440"/>
      <w:bookmarkStart w:id="170" w:name="_Toc25512"/>
      <w:r>
        <w:rPr>
          <w:rFonts w:hint="eastAsia" w:ascii="仿宋_GB2312" w:hAnsi="仿宋_GB2312" w:eastAsia="仿宋_GB2312" w:cs="仿宋_GB2312"/>
          <w:b w:val="0"/>
          <w:bCs w:val="0"/>
          <w:color w:val="auto"/>
          <w:sz w:val="30"/>
          <w:szCs w:val="30"/>
          <w:lang w:val="en-US" w:eastAsia="zh-CN"/>
        </w:rPr>
        <w:t>产企业合作，建设布局合理、衔接通畅、运行高效、资源集约的生产性物流体系，为生产企业提供高效的现代物流服务。大力发展农产品冷链物流和资源型产品物流体系，全面提升面向生产企业的供应链管理服务水平。鼓励生产企业与第三方物流企业组建专业物流公司，推进生产企业物流向社会专业物流转变，引导生产企业与物流企业资源整合和业务聚合，培育具有带动和示范作用的物流龙头企业，提升生产性物流业服务水平。</w:t>
      </w:r>
      <w:bookmarkEnd w:id="166"/>
      <w:bookmarkEnd w:id="167"/>
      <w:bookmarkEnd w:id="168"/>
      <w:bookmarkEnd w:id="169"/>
      <w:bookmarkEnd w:id="170"/>
    </w:p>
    <w:p>
      <w:pPr>
        <w:pageBreakBefore w:val="0"/>
        <w:widowControl w:val="0"/>
        <w:kinsoku/>
        <w:wordWrap/>
        <w:overflowPunct/>
        <w:topLinePunct w:val="0"/>
        <w:autoSpaceDE/>
        <w:autoSpaceDN/>
        <w:bidi w:val="0"/>
        <w:adjustRightInd/>
        <w:snapToGrid/>
        <w:spacing w:line="560" w:lineRule="exact"/>
        <w:ind w:firstLine="602" w:firstLineChars="200"/>
        <w:textAlignment w:val="auto"/>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sz w:val="30"/>
          <w:szCs w:val="30"/>
          <w:lang w:val="en-US" w:eastAsia="zh-CN"/>
        </w:rPr>
        <w:t>2、电子商务</w:t>
      </w:r>
    </w:p>
    <w:p>
      <w:pPr>
        <w:pageBreakBefore w:val="0"/>
        <w:widowControl w:val="0"/>
        <w:tabs>
          <w:tab w:val="left" w:pos="1162"/>
        </w:tabs>
        <w:kinsoku/>
        <w:wordWrap/>
        <w:overflowPunct/>
        <w:topLinePunct w:val="0"/>
        <w:autoSpaceDE/>
        <w:autoSpaceDN/>
        <w:bidi w:val="0"/>
        <w:adjustRightInd/>
        <w:snapToGrid/>
        <w:spacing w:line="560" w:lineRule="exact"/>
        <w:ind w:firstLine="600" w:firstLineChars="200"/>
        <w:jc w:val="left"/>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发展电商产业园项目，加强与专业机构合作，吸引国内外电子商务企业和配套服务企业入驻，形成集商品贸易、平台建设、物流配送、融资支持、实训模拟等多功能、多业态为一体的电子商务园区。结合我县产业特点，培育具有鲜明特色的本地行业信息服务平台，尤其是在特色农产品、特色食品等优势产业领域发展壮大若干行业信息服务平台，引导行业信息服务平台向集交易、支付和信息服务于一体的电子商务平台发展。鼓励农民专业合作社、农业产业化龙头企业和制造企业运用阿里巴巴、淘宝、天猫、京东商城等电商平台，组建电商团队或借助第三方电子商务经营主体，发展专业的电商运用，通过电商平台开展产品销售与出口业务。</w:t>
      </w:r>
    </w:p>
    <w:p>
      <w:pPr>
        <w:pageBreakBefore w:val="0"/>
        <w:widowControl w:val="0"/>
        <w:tabs>
          <w:tab w:val="left" w:pos="1162"/>
        </w:tabs>
        <w:kinsoku/>
        <w:wordWrap/>
        <w:overflowPunct/>
        <w:topLinePunct w:val="0"/>
        <w:autoSpaceDE/>
        <w:autoSpaceDN/>
        <w:bidi w:val="0"/>
        <w:adjustRightInd/>
        <w:snapToGrid/>
        <w:spacing w:line="560" w:lineRule="exact"/>
        <w:ind w:firstLine="600" w:firstLineChars="200"/>
        <w:jc w:val="left"/>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加快发展工业互联网。推进大数据、云计算、物联网等新一</w:t>
      </w:r>
    </w:p>
    <w:p>
      <w:pPr>
        <w:pageBreakBefore w:val="0"/>
        <w:widowControl w:val="0"/>
        <w:tabs>
          <w:tab w:val="left" w:pos="1162"/>
        </w:tabs>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代信息技术与制造技术融合发展，开展数字化车间和智能工厂示范试点，推广制造执行系统MES，鼓励企业在生产过程、能耗排放、供应链跟踪、远程服务等环节应用物联网技术和大数据技术，及时分析处理生产过程中的各种数据，实现生产过程的实时监测故障诊断、质量控制和调度优化，形成连续生产、联网协同、智能管控的制造模式。推动大数据在工业行业管理和经济运行中的应用，促进信息共享和数据开放，实现产品、市场和经济运行的动态监控、预测预警，提高行业管理、决策与服务水平。加快完善信用、安全、物流、支付等电子商务支撑服务体系建设，促进工业电子商务平台、工业物流、金融等业务创新和互动发展，建设开放、透明、共享的供应链协作模式。</w:t>
      </w:r>
    </w:p>
    <w:p>
      <w:pPr>
        <w:pageBreakBefore w:val="0"/>
        <w:widowControl w:val="0"/>
        <w:kinsoku/>
        <w:wordWrap/>
        <w:overflowPunct/>
        <w:topLinePunct w:val="0"/>
        <w:autoSpaceDE/>
        <w:autoSpaceDN/>
        <w:bidi w:val="0"/>
        <w:adjustRightInd/>
        <w:snapToGrid/>
        <w:spacing w:line="560" w:lineRule="exact"/>
        <w:ind w:firstLine="602" w:firstLineChars="200"/>
        <w:textAlignment w:val="auto"/>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sz w:val="30"/>
          <w:szCs w:val="30"/>
          <w:lang w:val="en-US" w:eastAsia="zh-CN"/>
        </w:rPr>
        <w:t>3、节能降耗服务业</w:t>
      </w:r>
    </w:p>
    <w:p>
      <w:pPr>
        <w:pageBreakBefore w:val="0"/>
        <w:widowControl w:val="0"/>
        <w:tabs>
          <w:tab w:val="left" w:pos="1162"/>
        </w:tabs>
        <w:kinsoku/>
        <w:wordWrap/>
        <w:overflowPunct/>
        <w:topLinePunct w:val="0"/>
        <w:autoSpaceDE/>
        <w:autoSpaceDN/>
        <w:bidi w:val="0"/>
        <w:adjustRightInd/>
        <w:snapToGrid/>
        <w:spacing w:line="560" w:lineRule="exact"/>
        <w:ind w:firstLine="600" w:firstLineChars="200"/>
        <w:jc w:val="left"/>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积极培育节能环保服务业、资源循环利用服务业以及新能源相关服务业，加快推进节能环保产业多元化发展。引进和培育第三方机构，以我县新材料、绿色氰胺、先进装备制造等领域为重点，大力推行能源合同管理，建立健全合同能源管理项目评价标准、实施机制和激励机制。积极培育本土节能服务中介机构，面向重点行业企业提供</w:t>
      </w:r>
      <w:r>
        <w:rPr>
          <w:rFonts w:hint="eastAsia" w:ascii="仿宋_GB2312" w:hAnsi="仿宋_GB2312" w:eastAsia="仿宋_GB2312" w:cs="仿宋_GB2312"/>
          <w:b w:val="0"/>
          <w:bCs w:val="0"/>
          <w:color w:val="auto"/>
          <w:sz w:val="30"/>
          <w:szCs w:val="30"/>
          <w:lang w:val="en-US" w:eastAsia="zh-CN"/>
        </w:rPr>
        <w:t>碳资产管理、能源审计、节能项目设计、项目融资、设备采购及安装调试运维、人员培训、节能量认证交易等服务。</w:t>
      </w:r>
      <w:r>
        <w:rPr>
          <w:rFonts w:hint="eastAsia" w:ascii="仿宋_GB2312" w:hAnsi="仿宋_GB2312" w:eastAsia="仿宋_GB2312" w:cs="仿宋_GB2312"/>
          <w:color w:val="auto"/>
          <w:sz w:val="30"/>
          <w:szCs w:val="30"/>
          <w:lang w:val="en-US" w:eastAsia="zh-CN"/>
        </w:rPr>
        <w:t>加强引导重点用能单位利用自身技术优势和管理经验，延伸业务领域，发展节能服务业务。大力推广整体节能管理，利用信息化手段，提供智慧能源管理解决方案。</w:t>
      </w:r>
    </w:p>
    <w:p>
      <w:pPr>
        <w:pageBreakBefore w:val="0"/>
        <w:widowControl w:val="0"/>
        <w:kinsoku/>
        <w:wordWrap/>
        <w:overflowPunct/>
        <w:topLinePunct w:val="0"/>
        <w:autoSpaceDE/>
        <w:autoSpaceDN/>
        <w:bidi w:val="0"/>
        <w:adjustRightInd/>
        <w:snapToGrid/>
        <w:spacing w:line="560" w:lineRule="exact"/>
        <w:ind w:firstLine="602" w:firstLineChars="200"/>
        <w:textAlignment w:val="auto"/>
        <w:rPr>
          <w:rFonts w:hint="eastAsia" w:ascii="仿宋_GB2312" w:hAnsi="仿宋_GB2312" w:eastAsia="仿宋_GB2312" w:cs="仿宋_GB2312"/>
          <w:b/>
          <w:bCs/>
          <w:color w:val="auto"/>
          <w:sz w:val="30"/>
          <w:szCs w:val="30"/>
          <w:lang w:val="en-US" w:eastAsia="zh-CN"/>
        </w:rPr>
      </w:pPr>
      <w:r>
        <w:rPr>
          <w:rFonts w:hint="eastAsia" w:ascii="仿宋_GB2312" w:hAnsi="仿宋_GB2312" w:eastAsia="仿宋_GB2312" w:cs="仿宋_GB2312"/>
          <w:b/>
          <w:bCs/>
          <w:color w:val="auto"/>
          <w:sz w:val="30"/>
          <w:szCs w:val="30"/>
          <w:lang w:val="en-US" w:eastAsia="zh-CN"/>
        </w:rPr>
        <w:t>4、科技服务</w:t>
      </w:r>
    </w:p>
    <w:p>
      <w:pPr>
        <w:pageBreakBefore w:val="0"/>
        <w:widowControl w:val="0"/>
        <w:tabs>
          <w:tab w:val="left" w:pos="1162"/>
        </w:tabs>
        <w:kinsoku/>
        <w:wordWrap/>
        <w:overflowPunct/>
        <w:topLinePunct w:val="0"/>
        <w:autoSpaceDE/>
        <w:autoSpaceDN/>
        <w:bidi w:val="0"/>
        <w:adjustRightInd/>
        <w:snapToGrid/>
        <w:spacing w:line="560" w:lineRule="exact"/>
        <w:ind w:firstLine="600" w:firstLineChars="200"/>
        <w:jc w:val="left"/>
        <w:textAlignment w:val="auto"/>
        <w:rPr>
          <w:rFonts w:hint="eastAsia"/>
          <w:sz w:val="30"/>
          <w:szCs w:val="30"/>
          <w:lang w:val="en-US" w:eastAsia="zh-CN"/>
        </w:rPr>
      </w:pPr>
      <w:r>
        <w:rPr>
          <w:rFonts w:hint="eastAsia" w:ascii="仿宋_GB2312" w:hAnsi="仿宋_GB2312" w:eastAsia="仿宋_GB2312" w:cs="仿宋_GB2312"/>
          <w:color w:val="auto"/>
          <w:sz w:val="30"/>
          <w:szCs w:val="30"/>
          <w:lang w:val="en-US" w:eastAsia="zh-CN"/>
        </w:rPr>
        <w:t>充分发挥科技的支撑作用，把发展科技信息及咨询、知识产权及认证等科技服务业作为我县生产性服务业发展的重点。依托我县行业骨干龙头企业和企业技术中心，大力发展技术开发及转移、科技信息及咨询、知识产权及认证、技术交易等科技服务业。加快建立和完善以企业为主体、市场为导向、产学研相结合的技术创新体系，引导和支持创新要素向企业集聚，提高企业自主创新能力，促进产学研用紧密结合，加快中小企业对先进技术的吸收利用，促进科技成果向现实生产力转化。积极开展创新创业和技术服务工作，提升科技在生产性服务业中的服务水平。依托特色产业、传统产业、新兴产业，借助与区内外高校及科研机构合作平台，努力打造为中小企业服务的创业服务平台、公共信息服务平台及工业孵化园。</w:t>
      </w:r>
      <w:bookmarkStart w:id="171" w:name="_Toc12038"/>
      <w:bookmarkStart w:id="172" w:name="_Toc28016"/>
    </w:p>
    <w:p>
      <w:pPr>
        <w:pStyle w:val="3"/>
        <w:pageBreakBefore w:val="0"/>
        <w:widowControl w:val="0"/>
        <w:kinsoku/>
        <w:wordWrap/>
        <w:overflowPunct/>
        <w:topLinePunct w:val="0"/>
        <w:autoSpaceDE/>
        <w:autoSpaceDN/>
        <w:bidi w:val="0"/>
        <w:adjustRightInd/>
        <w:snapToGrid/>
        <w:spacing w:line="560" w:lineRule="exact"/>
        <w:jc w:val="center"/>
        <w:textAlignment w:val="auto"/>
        <w:rPr>
          <w:rFonts w:hint="eastAsia" w:asciiTheme="majorEastAsia" w:hAnsiTheme="majorEastAsia" w:eastAsiaTheme="majorEastAsia" w:cstheme="majorEastAsia"/>
          <w:color w:val="auto"/>
          <w:sz w:val="32"/>
          <w:szCs w:val="32"/>
          <w:lang w:val="en-US" w:eastAsia="zh-CN"/>
        </w:rPr>
      </w:pPr>
    </w:p>
    <w:p>
      <w:pPr>
        <w:pStyle w:val="3"/>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val="0"/>
          <w:bCs w:val="0"/>
          <w:color w:val="auto"/>
          <w:sz w:val="32"/>
          <w:szCs w:val="32"/>
          <w:lang w:val="en-US" w:eastAsia="zh-CN"/>
        </w:rPr>
      </w:pPr>
      <w:bookmarkStart w:id="173" w:name="_Toc31565"/>
      <w:bookmarkStart w:id="174" w:name="_Toc8036"/>
      <w:bookmarkStart w:id="175" w:name="_Toc591456469"/>
      <w:r>
        <w:rPr>
          <w:rFonts w:hint="eastAsia" w:ascii="黑体" w:hAnsi="黑体" w:eastAsia="黑体" w:cs="黑体"/>
          <w:b w:val="0"/>
          <w:bCs w:val="0"/>
          <w:color w:val="auto"/>
          <w:sz w:val="32"/>
          <w:szCs w:val="32"/>
          <w:lang w:val="en-US" w:eastAsia="zh-CN"/>
        </w:rPr>
        <w:t>第四章 优化产业空间布局</w:t>
      </w:r>
      <w:bookmarkEnd w:id="171"/>
      <w:bookmarkEnd w:id="172"/>
      <w:bookmarkEnd w:id="173"/>
      <w:bookmarkEnd w:id="174"/>
      <w:bookmarkEnd w:id="175"/>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00" w:firstLineChars="200"/>
        <w:jc w:val="both"/>
        <w:textAlignment w:val="auto"/>
        <w:outlineLvl w:val="9"/>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rPr>
        <w:t>全面贯彻党的十九大和十九届三中、四中</w:t>
      </w:r>
      <w:r>
        <w:rPr>
          <w:rFonts w:hint="eastAsia" w:ascii="仿宋_GB2312" w:hAnsi="仿宋_GB2312" w:eastAsia="仿宋_GB2312" w:cs="仿宋_GB2312"/>
          <w:color w:val="auto"/>
          <w:sz w:val="30"/>
          <w:szCs w:val="30"/>
          <w:lang w:eastAsia="zh-CN"/>
        </w:rPr>
        <w:t>、五中</w:t>
      </w:r>
      <w:r>
        <w:rPr>
          <w:rFonts w:hint="eastAsia" w:ascii="仿宋_GB2312" w:hAnsi="仿宋_GB2312" w:eastAsia="仿宋_GB2312" w:cs="仿宋_GB2312"/>
          <w:color w:val="auto"/>
          <w:sz w:val="30"/>
          <w:szCs w:val="30"/>
        </w:rPr>
        <w:t>全会精神，认真践行“创新、协调、绿色、开放、共享”五大发展理念，抢抓国家西部大开发、“一带一路”和内陆开放型经济试验区建设等重大机遇，贯彻落实国家“生态文明建设”、“中国制造2025”等重大战略部署，把握“去产能”推进与“新经济”培育的重要契机，以建设“美丽平罗”为目标，以转型升级、创新驱动、绿色发展为主线，以承接产业转移、提质增效、增量培育、两化融合为重点，加快构建具有平罗特色的现代工业体系，实现从由资源能源消耗型向创新驱动型、从“两高一低”工业向绿色生态工业的转变，力争在新型工业化道路上迈出新步伐、实现新突破。</w:t>
      </w:r>
      <w:r>
        <w:rPr>
          <w:rFonts w:hint="eastAsia" w:ascii="仿宋_GB2312" w:hAnsi="仿宋_GB2312" w:eastAsia="仿宋_GB2312" w:cs="仿宋_GB2312"/>
          <w:color w:val="auto"/>
          <w:sz w:val="30"/>
          <w:szCs w:val="30"/>
          <w:lang w:val="en-US" w:eastAsia="zh-CN"/>
        </w:rPr>
        <w:t>平罗县工业园区的产业发展布局规划应既要立足于现实，着重于原材料、劳动力资源、能源、运输等情况，又要着眼于长远，坚持产业融合、一体发展，按照“企业集中布局、产业集聚发展、资源集约利用”的原则，充分发挥区域优势、培育特色产业，高标准规划建设好“</w:t>
      </w:r>
      <w:r>
        <w:rPr>
          <w:rFonts w:hint="eastAsia" w:ascii="仿宋_GB2312" w:hAnsi="仿宋_GB2312" w:eastAsia="仿宋_GB2312" w:cs="仿宋_GB2312"/>
          <w:b/>
          <w:bCs/>
          <w:color w:val="auto"/>
          <w:sz w:val="30"/>
          <w:szCs w:val="30"/>
          <w:lang w:val="en-US" w:eastAsia="zh-CN"/>
        </w:rPr>
        <w:t>一区三园</w:t>
      </w:r>
      <w:r>
        <w:rPr>
          <w:rFonts w:hint="eastAsia" w:ascii="仿宋_GB2312" w:hAnsi="仿宋_GB2312" w:eastAsia="仿宋_GB2312" w:cs="仿宋_GB2312"/>
          <w:color w:val="auto"/>
          <w:sz w:val="30"/>
          <w:szCs w:val="30"/>
          <w:lang w:val="en-US" w:eastAsia="zh-CN"/>
        </w:rPr>
        <w:t>”，着力打造县域经济发展的重要载体和增长极。</w:t>
      </w:r>
    </w:p>
    <w:p>
      <w:pPr>
        <w:bidi w:val="0"/>
        <w:rPr>
          <w:rFonts w:hint="eastAsia" w:asciiTheme="majorEastAsia" w:hAnsiTheme="majorEastAsia" w:eastAsiaTheme="majorEastAsia" w:cstheme="majorEastAsia"/>
          <w:color w:val="auto"/>
          <w:sz w:val="32"/>
          <w:szCs w:val="32"/>
          <w:lang w:val="en-US" w:eastAsia="zh-CN"/>
        </w:rPr>
      </w:pPr>
      <w:bookmarkStart w:id="176" w:name="_Toc19964"/>
      <w:bookmarkStart w:id="177" w:name="_Toc19998"/>
      <w:bookmarkStart w:id="178" w:name="_Toc7872"/>
      <w:bookmarkStart w:id="179" w:name="_Toc21812"/>
      <w:r>
        <w:rPr>
          <w:rFonts w:hint="eastAsia" w:asciiTheme="majorEastAsia" w:hAnsiTheme="majorEastAsia" w:eastAsiaTheme="majorEastAsia" w:cstheme="majorEastAsia"/>
          <w:color w:val="auto"/>
          <w:sz w:val="32"/>
          <w:szCs w:val="32"/>
          <w:lang w:val="en-US" w:eastAsia="zh-CN"/>
        </w:rPr>
        <w:t xml:space="preserve">   </w:t>
      </w:r>
      <w:r>
        <w:rPr>
          <w:rFonts w:hint="eastAsia" w:ascii="仿宋_GB2312" w:hAnsi="仿宋_GB2312" w:eastAsia="仿宋_GB2312" w:cs="仿宋_GB2312"/>
          <w:color w:val="auto"/>
          <w:sz w:val="32"/>
          <w:szCs w:val="32"/>
          <w:lang w:val="en-US" w:eastAsia="zh-CN"/>
        </w:rPr>
        <w:drawing>
          <wp:inline distT="0" distB="0" distL="114300" distR="114300">
            <wp:extent cx="4905375" cy="4143375"/>
            <wp:effectExtent l="0" t="0" r="9525" b="9525"/>
            <wp:docPr id="1" name="图片 1" descr="6bf195ef3494a67da3a58f58a0d8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bf195ef3494a67da3a58f58a0d8887"/>
                    <pic:cNvPicPr>
                      <a:picLocks noChangeAspect="1"/>
                    </pic:cNvPicPr>
                  </pic:nvPicPr>
                  <pic:blipFill>
                    <a:blip r:embed="rId8"/>
                    <a:stretch>
                      <a:fillRect/>
                    </a:stretch>
                  </pic:blipFill>
                  <pic:spPr>
                    <a:xfrm>
                      <a:off x="0" y="0"/>
                      <a:ext cx="4905375" cy="4143375"/>
                    </a:xfrm>
                    <a:prstGeom prst="rect">
                      <a:avLst/>
                    </a:prstGeom>
                  </pic:spPr>
                </pic:pic>
              </a:graphicData>
            </a:graphic>
          </wp:inline>
        </w:drawing>
      </w:r>
    </w:p>
    <w:p>
      <w:pPr>
        <w:ind w:firstLine="480"/>
        <w:jc w:val="center"/>
        <w:rPr>
          <w:rFonts w:hint="eastAsia" w:ascii="宋体" w:hAnsi="宋体" w:eastAsia="宋体" w:cs="微软雅黑"/>
          <w:color w:val="auto"/>
        </w:rPr>
      </w:pPr>
      <w:r>
        <w:rPr>
          <w:rFonts w:hint="eastAsia" w:ascii="宋体" w:hAnsi="宋体" w:cs="微软雅黑"/>
          <w:color w:val="auto"/>
          <w:lang w:eastAsia="zh-CN"/>
        </w:rPr>
        <w:t>图</w:t>
      </w:r>
      <w:r>
        <w:rPr>
          <w:rFonts w:hint="eastAsia" w:ascii="宋体" w:hAnsi="宋体" w:cs="微软雅黑"/>
          <w:color w:val="auto"/>
          <w:lang w:val="en-US" w:eastAsia="zh-CN"/>
        </w:rPr>
        <w:t>4-1</w:t>
      </w:r>
      <w:r>
        <w:rPr>
          <w:rFonts w:hint="eastAsia" w:ascii="宋体" w:hAnsi="宋体" w:eastAsia="宋体" w:cs="微软雅黑"/>
          <w:color w:val="auto"/>
        </w:rPr>
        <w:t>县域空间格局示意图</w:t>
      </w:r>
    </w:p>
    <w:p>
      <w:pPr>
        <w:pStyle w:val="4"/>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 w:hAnsi="楷体" w:eastAsia="楷体" w:cs="楷体"/>
          <w:color w:val="auto"/>
          <w:sz w:val="32"/>
          <w:szCs w:val="32"/>
          <w:lang w:val="en-US" w:eastAsia="zh-CN"/>
        </w:rPr>
      </w:pPr>
      <w:bookmarkStart w:id="180" w:name="_Toc4071"/>
      <w:bookmarkStart w:id="181" w:name="_Toc25441"/>
      <w:bookmarkStart w:id="182" w:name="_Toc933794657"/>
      <w:r>
        <w:rPr>
          <w:rFonts w:hint="eastAsia" w:ascii="楷体" w:hAnsi="楷体" w:eastAsia="楷体" w:cs="楷体"/>
          <w:color w:val="auto"/>
          <w:sz w:val="32"/>
          <w:szCs w:val="32"/>
          <w:lang w:val="en-US" w:eastAsia="zh-CN"/>
        </w:rPr>
        <w:t>一、产业布局原则</w:t>
      </w:r>
      <w:bookmarkEnd w:id="176"/>
      <w:bookmarkEnd w:id="177"/>
      <w:bookmarkEnd w:id="178"/>
      <w:bookmarkEnd w:id="179"/>
      <w:bookmarkEnd w:id="180"/>
      <w:bookmarkEnd w:id="181"/>
      <w:bookmarkEnd w:id="182"/>
    </w:p>
    <w:p>
      <w:pPr>
        <w:pStyle w:val="5"/>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color w:val="auto"/>
          <w:sz w:val="32"/>
          <w:szCs w:val="32"/>
          <w:lang w:val="en-US" w:eastAsia="zh-CN"/>
        </w:rPr>
      </w:pPr>
      <w:bookmarkStart w:id="183" w:name="_Toc28042"/>
      <w:bookmarkStart w:id="184" w:name="_Toc1797"/>
      <w:bookmarkStart w:id="185" w:name="_Toc63710355"/>
      <w:r>
        <w:rPr>
          <w:rFonts w:hint="eastAsia" w:ascii="仿宋" w:hAnsi="仿宋" w:eastAsia="仿宋" w:cs="仿宋"/>
          <w:color w:val="auto"/>
          <w:sz w:val="32"/>
          <w:szCs w:val="32"/>
          <w:lang w:val="en-US" w:eastAsia="zh-CN"/>
        </w:rPr>
        <w:t>(一)企业集中布局</w:t>
      </w:r>
      <w:bookmarkEnd w:id="183"/>
      <w:bookmarkEnd w:id="184"/>
      <w:bookmarkEnd w:id="185"/>
    </w:p>
    <w:p>
      <w:pPr>
        <w:pageBreakBefore w:val="0"/>
        <w:widowControl w:val="0"/>
        <w:kinsoku/>
        <w:wordWrap/>
        <w:overflowPunct/>
        <w:topLinePunct w:val="0"/>
        <w:autoSpaceDE/>
        <w:autoSpaceDN/>
        <w:bidi w:val="0"/>
        <w:adjustRightInd/>
        <w:snapToGrid/>
        <w:spacing w:line="560" w:lineRule="exact"/>
        <w:ind w:firstLine="600" w:firstLineChars="200"/>
        <w:jc w:val="left"/>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sz w:val="30"/>
          <w:szCs w:val="30"/>
          <w:lang w:val="en-US" w:eastAsia="zh-CN"/>
        </w:rPr>
        <w:t>引导同类和相关联的企业、项目集中布局，为发展循环经济、污染集中治理、社会服务共享创造前提条件，降低成本，提高市场竞争力。推进龙头企业加强标准化建设和实施产品、技术扩散，提升企业市场适应能力、反应能力和竞争能力。</w:t>
      </w:r>
    </w:p>
    <w:p>
      <w:pPr>
        <w:pageBreakBefore w:val="0"/>
        <w:widowControl w:val="0"/>
        <w:tabs>
          <w:tab w:val="left" w:pos="662"/>
        </w:tabs>
        <w:kinsoku/>
        <w:wordWrap/>
        <w:overflowPunct/>
        <w:topLinePunct w:val="0"/>
        <w:autoSpaceDE/>
        <w:autoSpaceDN/>
        <w:bidi w:val="0"/>
        <w:adjustRightInd/>
        <w:snapToGrid/>
        <w:spacing w:line="560" w:lineRule="exact"/>
        <w:ind w:firstLine="643" w:firstLineChars="200"/>
        <w:jc w:val="left"/>
        <w:textAlignment w:val="auto"/>
        <w:outlineLvl w:val="2"/>
        <w:rPr>
          <w:rStyle w:val="25"/>
          <w:rFonts w:hint="eastAsia" w:ascii="仿宋" w:hAnsi="仿宋" w:eastAsia="仿宋" w:cs="仿宋"/>
          <w:color w:val="auto"/>
          <w:lang w:val="en-US" w:eastAsia="zh-CN"/>
        </w:rPr>
      </w:pPr>
      <w:bookmarkStart w:id="186" w:name="_Toc27179"/>
      <w:bookmarkStart w:id="187" w:name="_Toc323340257"/>
      <w:bookmarkStart w:id="188" w:name="_Toc4115"/>
      <w:r>
        <w:rPr>
          <w:rStyle w:val="25"/>
          <w:rFonts w:hint="eastAsia" w:ascii="仿宋" w:hAnsi="仿宋" w:eastAsia="仿宋" w:cs="仿宋"/>
          <w:color w:val="auto"/>
          <w:lang w:val="en-US" w:eastAsia="zh-CN"/>
        </w:rPr>
        <w:t>(二)产业集聚发展</w:t>
      </w:r>
      <w:bookmarkEnd w:id="186"/>
      <w:bookmarkEnd w:id="187"/>
      <w:bookmarkEnd w:id="188"/>
    </w:p>
    <w:p>
      <w:pPr>
        <w:pageBreakBefore w:val="0"/>
        <w:widowControl w:val="0"/>
        <w:tabs>
          <w:tab w:val="left" w:pos="662"/>
        </w:tabs>
        <w:kinsoku/>
        <w:wordWrap/>
        <w:overflowPunct/>
        <w:topLinePunct w:val="0"/>
        <w:autoSpaceDE/>
        <w:autoSpaceDN/>
        <w:bidi w:val="0"/>
        <w:adjustRightInd/>
        <w:snapToGrid/>
        <w:spacing w:line="560" w:lineRule="exact"/>
        <w:ind w:firstLine="600" w:firstLineChars="200"/>
        <w:jc w:val="left"/>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围绕优势企业和龙头产品，延伸产业链，增强产业配套能力，不断壮大产业实力，整合各种资源，形成稳定、持续的竞争优势集合体，使园区成为区域内产业集中度最高区域，不断提区域经济竞争力。</w:t>
      </w:r>
    </w:p>
    <w:p>
      <w:pPr>
        <w:pStyle w:val="5"/>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color w:val="auto"/>
          <w:sz w:val="32"/>
          <w:szCs w:val="32"/>
          <w:lang w:val="en-US" w:eastAsia="zh-CN"/>
        </w:rPr>
      </w:pPr>
      <w:bookmarkStart w:id="189" w:name="_Toc16364"/>
      <w:bookmarkStart w:id="190" w:name="_Toc1657121336"/>
      <w:bookmarkStart w:id="191" w:name="_Toc3295"/>
      <w:r>
        <w:rPr>
          <w:rFonts w:hint="eastAsia" w:ascii="仿宋" w:hAnsi="仿宋" w:eastAsia="仿宋" w:cs="仿宋"/>
          <w:color w:val="auto"/>
          <w:sz w:val="32"/>
          <w:szCs w:val="32"/>
          <w:lang w:val="en-US" w:eastAsia="zh-CN"/>
        </w:rPr>
        <w:t>(三)资源集约利用</w:t>
      </w:r>
      <w:bookmarkEnd w:id="189"/>
      <w:bookmarkEnd w:id="190"/>
      <w:bookmarkEnd w:id="191"/>
    </w:p>
    <w:p>
      <w:pPr>
        <w:pageBreakBefore w:val="0"/>
        <w:widowControl w:val="0"/>
        <w:tabs>
          <w:tab w:val="left" w:pos="662"/>
        </w:tabs>
        <w:kinsoku/>
        <w:wordWrap/>
        <w:overflowPunct/>
        <w:topLinePunct w:val="0"/>
        <w:autoSpaceDE/>
        <w:autoSpaceDN/>
        <w:bidi w:val="0"/>
        <w:adjustRightInd/>
        <w:snapToGrid/>
        <w:spacing w:line="560" w:lineRule="exact"/>
        <w:ind w:firstLine="600" w:firstLineChars="200"/>
        <w:jc w:val="left"/>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充分考虑区域的产业基础，坚持有所为、有所不为，产业的发展要根据园区的土地、水、电、天然气、蒸汽等环境容量等资源进行布局。提高投资强度，强调资源的集约利用、循环利用。优先发展低消耗、高产出的产业，坚持绿色制造，积极推广清洁生产新工艺。</w:t>
      </w:r>
    </w:p>
    <w:p>
      <w:pPr>
        <w:pStyle w:val="4"/>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 w:hAnsi="楷体" w:eastAsia="楷体" w:cs="楷体"/>
          <w:color w:val="auto"/>
          <w:sz w:val="32"/>
          <w:szCs w:val="32"/>
          <w:lang w:val="en-US" w:eastAsia="zh-CN"/>
        </w:rPr>
      </w:pPr>
      <w:bookmarkStart w:id="192" w:name="_Toc20917"/>
      <w:bookmarkStart w:id="193" w:name="_Toc835035003"/>
      <w:bookmarkStart w:id="194" w:name="_Toc9832"/>
      <w:bookmarkStart w:id="195" w:name="_Toc10039"/>
      <w:bookmarkStart w:id="196" w:name="_Toc30458"/>
      <w:bookmarkStart w:id="197" w:name="_Toc29794"/>
      <w:bookmarkStart w:id="198" w:name="_Toc13045"/>
      <w:r>
        <w:rPr>
          <w:rFonts w:hint="eastAsia" w:ascii="楷体" w:hAnsi="楷体" w:eastAsia="楷体" w:cs="楷体"/>
          <w:color w:val="auto"/>
          <w:sz w:val="32"/>
          <w:szCs w:val="32"/>
          <w:lang w:val="en-US" w:eastAsia="zh-CN"/>
        </w:rPr>
        <w:t>二、产业布局规划</w:t>
      </w:r>
      <w:bookmarkEnd w:id="192"/>
      <w:bookmarkEnd w:id="193"/>
      <w:bookmarkEnd w:id="194"/>
      <w:bookmarkEnd w:id="195"/>
      <w:bookmarkEnd w:id="196"/>
      <w:bookmarkEnd w:id="197"/>
      <w:bookmarkEnd w:id="198"/>
    </w:p>
    <w:p>
      <w:pPr>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rPr>
        <w:t>实施一个战略“工业强县，产业兴县”，围绕一个主题“结构调整和转型升级”，强化两个支撑“科技创新、项目建设”，打造三个平台“</w:t>
      </w:r>
      <w:r>
        <w:rPr>
          <w:rFonts w:hint="eastAsia" w:ascii="仿宋_GB2312" w:hAnsi="仿宋_GB2312" w:eastAsia="仿宋_GB2312" w:cs="仿宋_GB2312"/>
          <w:color w:val="auto"/>
          <w:sz w:val="30"/>
          <w:szCs w:val="30"/>
          <w:lang w:eastAsia="zh-CN"/>
        </w:rPr>
        <w:t>太西园</w:t>
      </w:r>
      <w:r>
        <w:rPr>
          <w:rFonts w:hint="eastAsia" w:ascii="仿宋_GB2312" w:hAnsi="仿宋_GB2312" w:eastAsia="仿宋_GB2312" w:cs="仿宋_GB2312"/>
          <w:color w:val="auto"/>
          <w:sz w:val="30"/>
          <w:szCs w:val="30"/>
        </w:rPr>
        <w:t>、</w:t>
      </w:r>
      <w:r>
        <w:rPr>
          <w:rFonts w:hint="eastAsia" w:ascii="仿宋_GB2312" w:hAnsi="仿宋_GB2312" w:eastAsia="仿宋_GB2312" w:cs="仿宋_GB2312"/>
          <w:color w:val="auto"/>
          <w:sz w:val="30"/>
          <w:szCs w:val="30"/>
          <w:lang w:eastAsia="zh-CN"/>
        </w:rPr>
        <w:t>红崖子园</w:t>
      </w:r>
      <w:r>
        <w:rPr>
          <w:rFonts w:hint="eastAsia" w:ascii="仿宋_GB2312" w:hAnsi="仿宋_GB2312" w:eastAsia="仿宋_GB2312" w:cs="仿宋_GB2312"/>
          <w:color w:val="auto"/>
          <w:sz w:val="30"/>
          <w:szCs w:val="30"/>
        </w:rPr>
        <w:t>、</w:t>
      </w:r>
      <w:r>
        <w:rPr>
          <w:rFonts w:hint="eastAsia" w:ascii="仿宋_GB2312" w:hAnsi="仿宋_GB2312" w:eastAsia="仿宋_GB2312" w:cs="仿宋_GB2312"/>
          <w:color w:val="auto"/>
          <w:sz w:val="30"/>
          <w:szCs w:val="30"/>
          <w:lang w:eastAsia="zh-CN"/>
        </w:rPr>
        <w:t>崇岗园</w:t>
      </w:r>
      <w:r>
        <w:rPr>
          <w:rFonts w:hint="eastAsia" w:ascii="仿宋_GB2312" w:hAnsi="仿宋_GB2312" w:eastAsia="仿宋_GB2312" w:cs="仿宋_GB2312"/>
          <w:color w:val="auto"/>
          <w:sz w:val="30"/>
          <w:szCs w:val="30"/>
        </w:rPr>
        <w:t>”，坚持“四个并重”（旧动能持续发力与新动能培育并重、新经济新业态培育与新兴服务业并重、发展生产性服务业与做大生活性服务业并重、传统主导产业改造提升与新产业招商引资并重）。围绕产业转型和结构调整，做</w:t>
      </w:r>
      <w:r>
        <w:rPr>
          <w:rFonts w:hint="eastAsia" w:ascii="仿宋_GB2312" w:hAnsi="仿宋_GB2312" w:eastAsia="仿宋_GB2312" w:cs="仿宋_GB2312"/>
          <w:color w:val="auto"/>
          <w:sz w:val="30"/>
          <w:szCs w:val="30"/>
          <w:lang w:eastAsia="zh-CN"/>
        </w:rPr>
        <w:t>实做</w:t>
      </w:r>
      <w:r>
        <w:rPr>
          <w:rFonts w:hint="eastAsia" w:ascii="仿宋_GB2312" w:hAnsi="仿宋_GB2312" w:eastAsia="仿宋_GB2312" w:cs="仿宋_GB2312"/>
          <w:color w:val="auto"/>
          <w:sz w:val="30"/>
          <w:szCs w:val="30"/>
        </w:rPr>
        <w:t>强</w:t>
      </w:r>
      <w:r>
        <w:rPr>
          <w:rFonts w:hint="eastAsia" w:ascii="仿宋_GB2312" w:hAnsi="仿宋_GB2312" w:eastAsia="仿宋_GB2312" w:cs="仿宋_GB2312"/>
          <w:color w:val="auto"/>
          <w:sz w:val="30"/>
          <w:szCs w:val="30"/>
          <w:lang w:eastAsia="zh-CN"/>
        </w:rPr>
        <w:t>新材料和绿色氰胺</w:t>
      </w:r>
      <w:r>
        <w:rPr>
          <w:rFonts w:hint="eastAsia" w:ascii="仿宋_GB2312" w:hAnsi="仿宋_GB2312" w:eastAsia="仿宋_GB2312" w:cs="仿宋_GB2312"/>
          <w:color w:val="auto"/>
          <w:sz w:val="30"/>
          <w:szCs w:val="30"/>
        </w:rPr>
        <w:t>两大产业</w:t>
      </w:r>
      <w:r>
        <w:rPr>
          <w:rFonts w:hint="eastAsia" w:ascii="仿宋_GB2312" w:hAnsi="仿宋_GB2312" w:eastAsia="仿宋_GB2312" w:cs="仿宋_GB2312"/>
          <w:color w:val="auto"/>
          <w:sz w:val="30"/>
          <w:szCs w:val="30"/>
          <w:lang w:eastAsia="zh-CN"/>
        </w:rPr>
        <w:t>、</w:t>
      </w:r>
      <w:r>
        <w:rPr>
          <w:rFonts w:hint="eastAsia" w:ascii="仿宋_GB2312" w:hAnsi="仿宋_GB2312" w:eastAsia="仿宋_GB2312" w:cs="仿宋_GB2312"/>
          <w:color w:val="auto"/>
          <w:sz w:val="30"/>
          <w:szCs w:val="30"/>
        </w:rPr>
        <w:t>培育壮大先进装备制造产业。扎实推进供给侧结构性改革。走新型工业化道路，加快我县工业经济发展由“矿产时代”向“生态时代”转变，发展绿色制造系统集成，努力构建科技含量高、信息化深度融合、资源消耗低、环境污染少的工业产业体系，奋力推进县域工业经济持续、协调、快速发展</w:t>
      </w:r>
      <w:r>
        <w:rPr>
          <w:rFonts w:hint="eastAsia" w:ascii="仿宋_GB2312" w:hAnsi="仿宋_GB2312" w:eastAsia="仿宋_GB2312" w:cs="仿宋_GB2312"/>
          <w:color w:val="auto"/>
          <w:sz w:val="30"/>
          <w:szCs w:val="30"/>
          <w:lang w:eastAsia="zh-CN"/>
        </w:rPr>
        <w:t>。</w:t>
      </w:r>
    </w:p>
    <w:p>
      <w:pPr>
        <w:pStyle w:val="5"/>
        <w:keepNext/>
        <w:keepLines/>
        <w:pageBreakBefore w:val="0"/>
        <w:widowControl w:val="0"/>
        <w:kinsoku/>
        <w:wordWrap/>
        <w:overflowPunct/>
        <w:topLinePunct w:val="0"/>
        <w:autoSpaceDE/>
        <w:autoSpaceDN/>
        <w:bidi w:val="0"/>
        <w:adjustRightInd/>
        <w:snapToGrid/>
        <w:spacing w:line="560" w:lineRule="exact"/>
        <w:ind w:left="0" w:leftChars="0" w:firstLine="643" w:firstLineChars="200"/>
        <w:jc w:val="left"/>
        <w:textAlignment w:val="auto"/>
        <w:rPr>
          <w:rStyle w:val="25"/>
          <w:rFonts w:hint="eastAsia" w:ascii="仿宋" w:hAnsi="仿宋" w:eastAsia="仿宋" w:cs="仿宋"/>
          <w:b/>
          <w:bCs/>
          <w:color w:val="auto"/>
          <w:lang w:val="en-US" w:eastAsia="zh-CN"/>
        </w:rPr>
      </w:pPr>
      <w:bookmarkStart w:id="199" w:name="_Toc20015"/>
      <w:bookmarkStart w:id="200" w:name="_Toc780858052"/>
      <w:bookmarkStart w:id="201" w:name="_Toc18188"/>
      <w:r>
        <w:rPr>
          <w:rFonts w:hint="eastAsia" w:ascii="仿宋" w:hAnsi="仿宋" w:eastAsia="仿宋" w:cs="仿宋"/>
          <w:color w:val="auto"/>
          <w:sz w:val="32"/>
          <w:szCs w:val="32"/>
          <w:lang w:val="en-US" w:eastAsia="zh-CN"/>
        </w:rPr>
        <w:t>(一)</w:t>
      </w:r>
      <w:r>
        <w:rPr>
          <w:rStyle w:val="25"/>
          <w:rFonts w:hint="eastAsia" w:ascii="仿宋" w:hAnsi="仿宋" w:eastAsia="仿宋" w:cs="仿宋"/>
          <w:b/>
          <w:bCs/>
          <w:color w:val="auto"/>
          <w:lang w:val="en-US" w:eastAsia="zh-CN"/>
        </w:rPr>
        <w:t>太西园（原</w:t>
      </w:r>
      <w:r>
        <w:rPr>
          <w:rStyle w:val="25"/>
          <w:rFonts w:hint="eastAsia" w:ascii="仿宋" w:hAnsi="仿宋" w:eastAsia="仿宋" w:cs="仿宋"/>
          <w:b/>
          <w:bCs/>
          <w:color w:val="auto"/>
        </w:rPr>
        <w:t>石嘴山生态经济开发区</w:t>
      </w:r>
      <w:r>
        <w:rPr>
          <w:rStyle w:val="25"/>
          <w:rFonts w:hint="eastAsia" w:ascii="仿宋" w:hAnsi="仿宋" w:eastAsia="仿宋" w:cs="仿宋"/>
          <w:b/>
          <w:bCs/>
          <w:color w:val="auto"/>
          <w:lang w:eastAsia="zh-CN"/>
        </w:rPr>
        <w:t>）</w:t>
      </w:r>
      <w:bookmarkEnd w:id="199"/>
      <w:bookmarkEnd w:id="200"/>
      <w:bookmarkEnd w:id="201"/>
    </w:p>
    <w:p>
      <w:pPr>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lang w:val="en-US" w:eastAsia="zh-CN"/>
        </w:rPr>
        <w:t>太西园位于县城规划区西部，距县中心6公里，西临包兰铁路，紧靠建设中的包头至银川高速铁路和已建的京藏高速公路，交通便利，区位优势明显，发展潜力巨大。园区规划面积43.67平方公里。</w:t>
      </w:r>
      <w:r>
        <w:rPr>
          <w:rFonts w:hint="eastAsia" w:ascii="仿宋_GB2312" w:hAnsi="仿宋_GB2312" w:eastAsia="仿宋_GB2312" w:cs="仿宋_GB2312"/>
          <w:color w:val="auto"/>
          <w:sz w:val="30"/>
          <w:szCs w:val="30"/>
        </w:rPr>
        <w:t>在太西园布局</w:t>
      </w:r>
      <w:r>
        <w:rPr>
          <w:rFonts w:hint="eastAsia" w:ascii="仿宋_GB2312" w:hAnsi="仿宋_GB2312" w:eastAsia="仿宋_GB2312" w:cs="仿宋_GB2312"/>
          <w:color w:val="auto"/>
          <w:sz w:val="30"/>
          <w:szCs w:val="30"/>
          <w:lang w:eastAsia="zh-CN"/>
        </w:rPr>
        <w:t>传统产业提升改造片区</w:t>
      </w:r>
      <w:r>
        <w:rPr>
          <w:rFonts w:hint="eastAsia" w:ascii="仿宋_GB2312" w:hAnsi="仿宋_GB2312" w:eastAsia="仿宋_GB2312" w:cs="仿宋_GB2312"/>
          <w:color w:val="auto"/>
          <w:sz w:val="30"/>
          <w:szCs w:val="30"/>
        </w:rPr>
        <w:t>、</w:t>
      </w:r>
      <w:r>
        <w:rPr>
          <w:rFonts w:hint="eastAsia" w:ascii="仿宋_GB2312" w:hAnsi="仿宋_GB2312" w:eastAsia="仿宋_GB2312" w:cs="仿宋_GB2312"/>
          <w:color w:val="auto"/>
          <w:sz w:val="30"/>
          <w:szCs w:val="30"/>
          <w:lang w:eastAsia="zh-CN"/>
        </w:rPr>
        <w:t>新兴产业区</w:t>
      </w:r>
      <w:r>
        <w:rPr>
          <w:rFonts w:hint="eastAsia" w:ascii="仿宋_GB2312" w:hAnsi="仿宋_GB2312" w:eastAsia="仿宋_GB2312" w:cs="仿宋_GB2312"/>
          <w:color w:val="auto"/>
          <w:sz w:val="30"/>
          <w:szCs w:val="30"/>
        </w:rPr>
        <w:t>、</w:t>
      </w:r>
      <w:r>
        <w:rPr>
          <w:rFonts w:hint="eastAsia" w:ascii="仿宋_GB2312" w:hAnsi="仿宋_GB2312" w:eastAsia="仿宋_GB2312" w:cs="仿宋_GB2312"/>
          <w:color w:val="auto"/>
          <w:sz w:val="30"/>
          <w:szCs w:val="30"/>
          <w:lang w:eastAsia="zh-CN"/>
        </w:rPr>
        <w:t>精细化工片区</w:t>
      </w:r>
      <w:r>
        <w:rPr>
          <w:rFonts w:hint="eastAsia" w:ascii="仿宋_GB2312" w:hAnsi="仿宋_GB2312" w:eastAsia="仿宋_GB2312" w:cs="仿宋_GB2312"/>
          <w:color w:val="auto"/>
          <w:sz w:val="30"/>
          <w:szCs w:val="30"/>
        </w:rPr>
        <w:t>和轻工业片区等四大产业片区。</w:t>
      </w:r>
    </w:p>
    <w:p>
      <w:pPr>
        <w:pageBreakBefore w:val="0"/>
        <w:widowControl w:val="0"/>
        <w:kinsoku/>
        <w:wordWrap/>
        <w:overflowPunct/>
        <w:topLinePunct w:val="0"/>
        <w:autoSpaceDE/>
        <w:autoSpaceDN/>
        <w:bidi w:val="0"/>
        <w:adjustRightInd/>
        <w:snapToGrid/>
        <w:spacing w:line="560" w:lineRule="exact"/>
        <w:ind w:firstLine="480"/>
        <w:textAlignment w:val="auto"/>
        <w:rPr>
          <w:rFonts w:hint="eastAsia" w:ascii="仿宋_GB2312" w:hAnsi="仿宋_GB2312" w:eastAsia="仿宋_GB2312" w:cs="仿宋_GB2312"/>
          <w:b/>
          <w:bCs/>
          <w:color w:val="auto"/>
          <w:sz w:val="30"/>
          <w:szCs w:val="30"/>
          <w:lang w:eastAsia="zh-CN"/>
        </w:rPr>
      </w:pPr>
      <w:r>
        <w:rPr>
          <w:rFonts w:hint="eastAsia" w:ascii="仿宋_GB2312" w:hAnsi="仿宋_GB2312" w:eastAsia="仿宋_GB2312" w:cs="仿宋_GB2312"/>
          <w:b/>
          <w:bCs/>
          <w:color w:val="auto"/>
          <w:sz w:val="30"/>
          <w:szCs w:val="30"/>
        </w:rPr>
        <w:t>（1）</w:t>
      </w:r>
      <w:r>
        <w:rPr>
          <w:rFonts w:hint="eastAsia" w:ascii="仿宋_GB2312" w:hAnsi="仿宋_GB2312" w:eastAsia="仿宋_GB2312" w:cs="仿宋_GB2312"/>
          <w:b/>
          <w:bCs/>
          <w:color w:val="auto"/>
          <w:sz w:val="30"/>
          <w:szCs w:val="30"/>
          <w:lang w:eastAsia="zh-CN"/>
        </w:rPr>
        <w:t>传统产业提升改造片区</w:t>
      </w:r>
    </w:p>
    <w:p>
      <w:pPr>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太西园是</w:t>
      </w:r>
      <w:r>
        <w:rPr>
          <w:rFonts w:hint="eastAsia" w:ascii="仿宋_GB2312" w:hAnsi="仿宋_GB2312" w:eastAsia="仿宋_GB2312" w:cs="仿宋_GB2312"/>
          <w:color w:val="auto"/>
          <w:sz w:val="30"/>
          <w:szCs w:val="30"/>
          <w:lang w:eastAsia="zh-CN"/>
        </w:rPr>
        <w:t>传统</w:t>
      </w:r>
      <w:r>
        <w:rPr>
          <w:rFonts w:hint="eastAsia" w:ascii="仿宋_GB2312" w:hAnsi="仿宋_GB2312" w:eastAsia="仿宋_GB2312" w:cs="仿宋_GB2312"/>
          <w:color w:val="auto"/>
          <w:sz w:val="30"/>
          <w:szCs w:val="30"/>
        </w:rPr>
        <w:t>核心产业的集聚区，包括硅锰</w:t>
      </w:r>
      <w:r>
        <w:rPr>
          <w:rFonts w:hint="eastAsia" w:ascii="仿宋_GB2312" w:hAnsi="仿宋_GB2312" w:eastAsia="仿宋_GB2312" w:cs="仿宋_GB2312"/>
          <w:color w:val="auto"/>
          <w:sz w:val="30"/>
          <w:szCs w:val="30"/>
          <w:lang w:eastAsia="zh-CN"/>
        </w:rPr>
        <w:t>、硅铁</w:t>
      </w:r>
      <w:r>
        <w:rPr>
          <w:rFonts w:hint="eastAsia" w:ascii="仿宋_GB2312" w:hAnsi="仿宋_GB2312" w:eastAsia="仿宋_GB2312" w:cs="仿宋_GB2312"/>
          <w:color w:val="auto"/>
          <w:sz w:val="30"/>
          <w:szCs w:val="30"/>
        </w:rPr>
        <w:t>及延伸产品</w:t>
      </w:r>
      <w:r>
        <w:rPr>
          <w:rFonts w:hint="eastAsia" w:ascii="仿宋_GB2312" w:hAnsi="仿宋_GB2312" w:eastAsia="仿宋_GB2312" w:cs="仿宋_GB2312"/>
          <w:color w:val="auto"/>
          <w:sz w:val="30"/>
          <w:szCs w:val="30"/>
          <w:lang w:eastAsia="zh-CN"/>
        </w:rPr>
        <w:t>、</w:t>
      </w:r>
      <w:r>
        <w:rPr>
          <w:rFonts w:hint="eastAsia" w:ascii="仿宋_GB2312" w:hAnsi="仿宋_GB2312" w:eastAsia="仿宋_GB2312" w:cs="仿宋_GB2312"/>
          <w:color w:val="auto"/>
          <w:sz w:val="30"/>
          <w:szCs w:val="30"/>
        </w:rPr>
        <w:t>稀土合金</w:t>
      </w:r>
      <w:r>
        <w:rPr>
          <w:rFonts w:hint="eastAsia" w:ascii="仿宋_GB2312" w:hAnsi="仿宋_GB2312" w:eastAsia="仿宋_GB2312" w:cs="仿宋_GB2312"/>
          <w:color w:val="auto"/>
          <w:sz w:val="30"/>
          <w:szCs w:val="30"/>
          <w:lang w:eastAsia="zh-CN"/>
        </w:rPr>
        <w:t>、钢铁冶炼、</w:t>
      </w:r>
      <w:r>
        <w:rPr>
          <w:rFonts w:hint="eastAsia" w:ascii="仿宋_GB2312" w:hAnsi="仿宋_GB2312" w:eastAsia="仿宋_GB2312" w:cs="仿宋_GB2312"/>
          <w:color w:val="auto"/>
          <w:sz w:val="30"/>
          <w:szCs w:val="30"/>
        </w:rPr>
        <w:t>球化剂、孕育剂</w:t>
      </w:r>
      <w:r>
        <w:rPr>
          <w:rFonts w:hint="eastAsia" w:ascii="仿宋_GB2312" w:hAnsi="仿宋_GB2312" w:eastAsia="仿宋_GB2312" w:cs="仿宋_GB2312"/>
          <w:color w:val="auto"/>
          <w:sz w:val="30"/>
          <w:szCs w:val="30"/>
          <w:lang w:eastAsia="zh-CN"/>
        </w:rPr>
        <w:t>、</w:t>
      </w:r>
      <w:r>
        <w:rPr>
          <w:rFonts w:hint="eastAsia" w:ascii="仿宋_GB2312" w:hAnsi="仿宋_GB2312" w:eastAsia="仿宋_GB2312" w:cs="仿宋_GB2312"/>
          <w:color w:val="auto"/>
          <w:sz w:val="30"/>
          <w:szCs w:val="30"/>
        </w:rPr>
        <w:t>冶金固废综合利用</w:t>
      </w:r>
      <w:r>
        <w:rPr>
          <w:rFonts w:hint="eastAsia" w:ascii="仿宋_GB2312" w:hAnsi="仿宋_GB2312" w:eastAsia="仿宋_GB2312" w:cs="仿宋_GB2312"/>
          <w:color w:val="auto"/>
          <w:sz w:val="30"/>
          <w:szCs w:val="30"/>
          <w:lang w:eastAsia="zh-CN"/>
        </w:rPr>
        <w:t>、</w:t>
      </w:r>
      <w:r>
        <w:rPr>
          <w:rFonts w:hint="eastAsia" w:ascii="仿宋_GB2312" w:hAnsi="仿宋_GB2312" w:eastAsia="仿宋_GB2312" w:cs="仿宋_GB2312"/>
          <w:color w:val="auto"/>
          <w:sz w:val="30"/>
          <w:szCs w:val="30"/>
        </w:rPr>
        <w:t>电石及延伸产品</w:t>
      </w:r>
      <w:r>
        <w:rPr>
          <w:rFonts w:hint="eastAsia" w:ascii="仿宋_GB2312" w:hAnsi="仿宋_GB2312" w:eastAsia="仿宋_GB2312" w:cs="仿宋_GB2312"/>
          <w:color w:val="auto"/>
          <w:sz w:val="30"/>
          <w:szCs w:val="30"/>
          <w:lang w:eastAsia="zh-CN"/>
        </w:rPr>
        <w:t>、</w:t>
      </w:r>
      <w:r>
        <w:rPr>
          <w:rFonts w:hint="eastAsia" w:ascii="仿宋_GB2312" w:hAnsi="仿宋_GB2312" w:eastAsia="仿宋_GB2312" w:cs="仿宋_GB2312"/>
          <w:color w:val="auto"/>
          <w:sz w:val="30"/>
          <w:szCs w:val="30"/>
        </w:rPr>
        <w:t>炭基新材料</w:t>
      </w:r>
      <w:r>
        <w:rPr>
          <w:rFonts w:hint="eastAsia" w:ascii="仿宋_GB2312" w:hAnsi="仿宋_GB2312" w:eastAsia="仿宋_GB2312" w:cs="仿宋_GB2312"/>
          <w:color w:val="auto"/>
          <w:sz w:val="30"/>
          <w:szCs w:val="30"/>
          <w:lang w:eastAsia="zh-CN"/>
        </w:rPr>
        <w:t>、</w:t>
      </w:r>
      <w:r>
        <w:rPr>
          <w:rFonts w:hint="eastAsia" w:ascii="仿宋_GB2312" w:hAnsi="仿宋_GB2312" w:eastAsia="仿宋_GB2312" w:cs="仿宋_GB2312"/>
          <w:color w:val="auto"/>
          <w:sz w:val="30"/>
          <w:szCs w:val="30"/>
        </w:rPr>
        <w:t>绿色氰胺产业、先进装备制造业等多种产业集合，主要发展煤电冶化一体化循环经济产业，涉及研发、生产制造、配套服务等各阶段，有利于实现循环产业链构建，实现园区内部循环创新。</w:t>
      </w:r>
    </w:p>
    <w:p>
      <w:pPr>
        <w:pageBreakBefore w:val="0"/>
        <w:widowControl w:val="0"/>
        <w:kinsoku/>
        <w:wordWrap/>
        <w:overflowPunct/>
        <w:topLinePunct w:val="0"/>
        <w:autoSpaceDE/>
        <w:autoSpaceDN/>
        <w:bidi w:val="0"/>
        <w:adjustRightInd/>
        <w:snapToGrid/>
        <w:spacing w:line="560" w:lineRule="exact"/>
        <w:ind w:firstLine="480"/>
        <w:textAlignment w:val="auto"/>
        <w:rPr>
          <w:rFonts w:hint="eastAsia" w:ascii="仿宋_GB2312" w:hAnsi="仿宋_GB2312" w:eastAsia="仿宋_GB2312" w:cs="仿宋_GB2312"/>
          <w:b/>
          <w:bCs/>
          <w:color w:val="auto"/>
          <w:sz w:val="30"/>
          <w:szCs w:val="30"/>
          <w:lang w:eastAsia="zh-CN"/>
        </w:rPr>
      </w:pPr>
      <w:r>
        <w:rPr>
          <w:rFonts w:hint="eastAsia" w:ascii="仿宋_GB2312" w:hAnsi="仿宋_GB2312" w:eastAsia="仿宋_GB2312" w:cs="仿宋_GB2312"/>
          <w:b/>
          <w:bCs/>
          <w:color w:val="auto"/>
          <w:sz w:val="30"/>
          <w:szCs w:val="30"/>
        </w:rPr>
        <w:t>（2）</w:t>
      </w:r>
      <w:r>
        <w:rPr>
          <w:rFonts w:hint="eastAsia" w:ascii="仿宋_GB2312" w:hAnsi="仿宋_GB2312" w:eastAsia="仿宋_GB2312" w:cs="仿宋_GB2312"/>
          <w:b/>
          <w:bCs/>
          <w:color w:val="auto"/>
          <w:sz w:val="30"/>
          <w:szCs w:val="30"/>
          <w:lang w:eastAsia="zh-CN"/>
        </w:rPr>
        <w:t>新兴产业片区</w:t>
      </w:r>
    </w:p>
    <w:p>
      <w:pPr>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位于太西园的南部，主要发展新材料和先进制造业，是未来重要的发展片区。发展新材料过程中，要依托片区原有的</w:t>
      </w:r>
      <w:r>
        <w:rPr>
          <w:rFonts w:hint="eastAsia" w:ascii="仿宋_GB2312" w:hAnsi="仿宋_GB2312" w:eastAsia="仿宋_GB2312" w:cs="仿宋_GB2312"/>
          <w:color w:val="auto"/>
          <w:sz w:val="30"/>
          <w:szCs w:val="30"/>
          <w:lang w:eastAsia="zh-CN"/>
        </w:rPr>
        <w:t>冶金、</w:t>
      </w:r>
      <w:r>
        <w:rPr>
          <w:rFonts w:hint="eastAsia" w:ascii="仿宋_GB2312" w:hAnsi="仿宋_GB2312" w:eastAsia="仿宋_GB2312" w:cs="仿宋_GB2312"/>
          <w:color w:val="auto"/>
          <w:sz w:val="30"/>
          <w:szCs w:val="30"/>
        </w:rPr>
        <w:t>碳基材料的发展基础，延伸发展新材料产业</w:t>
      </w:r>
      <w:r>
        <w:rPr>
          <w:rFonts w:hint="eastAsia" w:ascii="仿宋_GB2312" w:hAnsi="仿宋_GB2312" w:eastAsia="仿宋_GB2312" w:cs="仿宋_GB2312"/>
          <w:color w:val="auto"/>
          <w:sz w:val="30"/>
          <w:szCs w:val="30"/>
          <w:lang w:eastAsia="zh-CN"/>
        </w:rPr>
        <w:t>、装备制造等</w:t>
      </w:r>
      <w:r>
        <w:rPr>
          <w:rFonts w:hint="eastAsia" w:ascii="仿宋_GB2312" w:hAnsi="仿宋_GB2312" w:eastAsia="仿宋_GB2312" w:cs="仿宋_GB2312"/>
          <w:color w:val="auto"/>
          <w:sz w:val="30"/>
          <w:szCs w:val="30"/>
        </w:rPr>
        <w:t>，</w:t>
      </w:r>
      <w:r>
        <w:rPr>
          <w:rFonts w:hint="eastAsia" w:ascii="仿宋_GB2312" w:hAnsi="仿宋_GB2312" w:eastAsia="仿宋_GB2312" w:cs="仿宋_GB2312"/>
          <w:color w:val="auto"/>
          <w:sz w:val="30"/>
          <w:szCs w:val="30"/>
          <w:lang w:eastAsia="zh-CN"/>
        </w:rPr>
        <w:t>加快</w:t>
      </w:r>
      <w:r>
        <w:rPr>
          <w:rFonts w:hint="eastAsia" w:ascii="仿宋_GB2312" w:hAnsi="仿宋_GB2312" w:eastAsia="仿宋_GB2312" w:cs="仿宋_GB2312"/>
          <w:color w:val="auto"/>
          <w:sz w:val="30"/>
          <w:szCs w:val="30"/>
        </w:rPr>
        <w:t>园区在关键零部件、基础装备制造等先进制造方面的发展。</w:t>
      </w:r>
    </w:p>
    <w:p>
      <w:pPr>
        <w:pageBreakBefore w:val="0"/>
        <w:widowControl w:val="0"/>
        <w:kinsoku/>
        <w:wordWrap/>
        <w:overflowPunct/>
        <w:topLinePunct w:val="0"/>
        <w:autoSpaceDE/>
        <w:autoSpaceDN/>
        <w:bidi w:val="0"/>
        <w:adjustRightInd/>
        <w:snapToGrid/>
        <w:spacing w:line="560" w:lineRule="exact"/>
        <w:ind w:firstLine="480"/>
        <w:textAlignment w:val="auto"/>
        <w:rPr>
          <w:rFonts w:hint="eastAsia" w:ascii="仿宋_GB2312" w:hAnsi="仿宋_GB2312" w:eastAsia="仿宋_GB2312" w:cs="仿宋_GB2312"/>
          <w:b/>
          <w:bCs/>
          <w:color w:val="auto"/>
          <w:sz w:val="30"/>
          <w:szCs w:val="30"/>
          <w:lang w:eastAsia="zh-CN"/>
        </w:rPr>
      </w:pPr>
      <w:r>
        <w:rPr>
          <w:rFonts w:hint="eastAsia" w:ascii="仿宋_GB2312" w:hAnsi="仿宋_GB2312" w:eastAsia="仿宋_GB2312" w:cs="仿宋_GB2312"/>
          <w:b/>
          <w:bCs/>
          <w:color w:val="auto"/>
          <w:sz w:val="30"/>
          <w:szCs w:val="30"/>
        </w:rPr>
        <w:t>（3）</w:t>
      </w:r>
      <w:r>
        <w:rPr>
          <w:rFonts w:hint="eastAsia" w:ascii="仿宋_GB2312" w:hAnsi="仿宋_GB2312" w:eastAsia="仿宋_GB2312" w:cs="仿宋_GB2312"/>
          <w:b/>
          <w:bCs/>
          <w:color w:val="auto"/>
          <w:sz w:val="30"/>
          <w:szCs w:val="30"/>
          <w:lang w:eastAsia="zh-CN"/>
        </w:rPr>
        <w:t>精细化工片区</w:t>
      </w:r>
    </w:p>
    <w:p>
      <w:pPr>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仿宋_GB2312" w:hAnsi="仿宋_GB2312" w:eastAsia="仿宋_GB2312" w:cs="仿宋_GB2312"/>
          <w:b/>
          <w:bCs/>
          <w:color w:val="auto"/>
          <w:sz w:val="30"/>
          <w:szCs w:val="30"/>
        </w:rPr>
      </w:pPr>
      <w:r>
        <w:rPr>
          <w:rFonts w:hint="eastAsia" w:ascii="仿宋_GB2312" w:hAnsi="仿宋_GB2312" w:eastAsia="仿宋_GB2312" w:cs="仿宋_GB2312"/>
          <w:color w:val="auto"/>
          <w:sz w:val="30"/>
          <w:szCs w:val="30"/>
        </w:rPr>
        <w:t>位于太西园的北部，主要发展氰胺及下游产业、医药产业（包括生物制药产业、农药产业、氯化亚砜及下游产业），产品包括医药中间体、成品药、生物制剂等。积极推进生物医药企业与国际国内知名大企业集团进行优势嫁接，建成一批拥有自主知识产权和较强国际竞争力的生物制药企业。</w:t>
      </w:r>
    </w:p>
    <w:p>
      <w:pPr>
        <w:pageBreakBefore w:val="0"/>
        <w:widowControl w:val="0"/>
        <w:kinsoku/>
        <w:wordWrap/>
        <w:overflowPunct/>
        <w:topLinePunct w:val="0"/>
        <w:autoSpaceDE/>
        <w:autoSpaceDN/>
        <w:bidi w:val="0"/>
        <w:adjustRightInd/>
        <w:snapToGrid/>
        <w:spacing w:line="560" w:lineRule="exact"/>
        <w:ind w:firstLine="480"/>
        <w:textAlignment w:val="auto"/>
        <w:rPr>
          <w:rFonts w:hint="eastAsia" w:ascii="仿宋_GB2312" w:hAnsi="仿宋_GB2312" w:eastAsia="仿宋_GB2312" w:cs="仿宋_GB2312"/>
          <w:b/>
          <w:bCs/>
          <w:color w:val="auto"/>
          <w:sz w:val="30"/>
          <w:szCs w:val="30"/>
        </w:rPr>
      </w:pPr>
      <w:r>
        <w:rPr>
          <w:rFonts w:hint="eastAsia" w:ascii="仿宋_GB2312" w:hAnsi="仿宋_GB2312" w:eastAsia="仿宋_GB2312" w:cs="仿宋_GB2312"/>
          <w:b/>
          <w:bCs/>
          <w:color w:val="auto"/>
          <w:sz w:val="30"/>
          <w:szCs w:val="30"/>
        </w:rPr>
        <w:t>（4）轻工业片区</w:t>
      </w:r>
    </w:p>
    <w:p>
      <w:pPr>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olor w:val="auto"/>
          <w:sz w:val="30"/>
          <w:szCs w:val="30"/>
        </w:rPr>
      </w:pPr>
      <w:r>
        <w:rPr>
          <w:rFonts w:hint="eastAsia" w:ascii="仿宋_GB2312" w:hAnsi="仿宋_GB2312" w:eastAsia="仿宋_GB2312" w:cs="仿宋_GB2312"/>
          <w:color w:val="auto"/>
          <w:sz w:val="30"/>
          <w:szCs w:val="30"/>
        </w:rPr>
        <w:t>位于太西园的东部，主要发展农业副产品深加工产业</w:t>
      </w:r>
      <w:r>
        <w:rPr>
          <w:rFonts w:hint="eastAsia" w:ascii="仿宋_GB2312" w:hAnsi="仿宋_GB2312" w:eastAsia="仿宋_GB2312" w:cs="仿宋_GB2312"/>
          <w:color w:val="auto"/>
          <w:sz w:val="30"/>
          <w:szCs w:val="30"/>
          <w:lang w:eastAsia="zh-CN"/>
        </w:rPr>
        <w:t>，主要</w:t>
      </w:r>
      <w:r>
        <w:rPr>
          <w:rFonts w:hint="eastAsia" w:ascii="仿宋_GB2312" w:hAnsi="仿宋_GB2312" w:eastAsia="仿宋_GB2312" w:cs="仿宋_GB2312"/>
          <w:color w:val="auto"/>
          <w:sz w:val="30"/>
          <w:szCs w:val="30"/>
        </w:rPr>
        <w:t>扩大保健饮料、果汁饮料生产规模和优质面粉、优质大米等产品加工规模。</w:t>
      </w:r>
    </w:p>
    <w:p>
      <w:pPr>
        <w:pStyle w:val="20"/>
        <w:ind w:left="420" w:leftChars="200" w:firstLine="219" w:firstLineChars="73"/>
        <w:rPr>
          <w:rFonts w:hint="eastAsia" w:ascii="仿宋_GB2312" w:hAnsi="仿宋_GB2312" w:eastAsia="仿宋_GB2312" w:cs="仿宋_GB2312"/>
          <w:b w:val="0"/>
          <w:bCs w:val="0"/>
          <w:color w:val="auto"/>
          <w:kern w:val="0"/>
          <w:sz w:val="30"/>
          <w:szCs w:val="30"/>
          <w:lang w:val="en-US" w:eastAsia="zh-CN" w:bidi="ar-SA"/>
        </w:rPr>
      </w:pPr>
      <w:r>
        <w:rPr>
          <w:rFonts w:hint="eastAsia" w:ascii="仿宋_GB2312" w:hAnsi="仿宋_GB2312" w:cs="仿宋_GB2312"/>
          <w:b w:val="0"/>
          <w:bCs w:val="0"/>
          <w:color w:val="auto"/>
          <w:kern w:val="0"/>
          <w:sz w:val="30"/>
          <w:szCs w:val="30"/>
          <w:lang w:val="en-US" w:eastAsia="zh-CN" w:bidi="ar-SA"/>
        </w:rPr>
        <w:t xml:space="preserve">    </w:t>
      </w:r>
      <w:r>
        <w:rPr>
          <w:rFonts w:hint="eastAsia" w:ascii="仿宋_GB2312" w:hAnsi="仿宋_GB2312" w:eastAsia="仿宋_GB2312" w:cs="仿宋_GB2312"/>
          <w:b w:val="0"/>
          <w:bCs w:val="0"/>
          <w:color w:val="auto"/>
          <w:kern w:val="0"/>
          <w:sz w:val="30"/>
          <w:szCs w:val="30"/>
          <w:lang w:val="en-US" w:eastAsia="zh-CN" w:bidi="ar-SA"/>
        </w:rPr>
        <w:drawing>
          <wp:inline distT="0" distB="0" distL="114300" distR="114300">
            <wp:extent cx="3943350" cy="4385945"/>
            <wp:effectExtent l="0" t="0" r="0" b="14605"/>
            <wp:docPr id="2" name="图片 2" descr="016f0ba263f33e8328aa504192b9a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16f0ba263f33e8328aa504192b9a74"/>
                    <pic:cNvPicPr>
                      <a:picLocks noChangeAspect="1"/>
                    </pic:cNvPicPr>
                  </pic:nvPicPr>
                  <pic:blipFill>
                    <a:blip r:embed="rId9"/>
                    <a:stretch>
                      <a:fillRect/>
                    </a:stretch>
                  </pic:blipFill>
                  <pic:spPr>
                    <a:xfrm>
                      <a:off x="0" y="0"/>
                      <a:ext cx="3943350" cy="4385945"/>
                    </a:xfrm>
                    <a:prstGeom prst="rect">
                      <a:avLst/>
                    </a:prstGeom>
                  </pic:spPr>
                </pic:pic>
              </a:graphicData>
            </a:graphic>
          </wp:inline>
        </w:drawing>
      </w:r>
    </w:p>
    <w:p>
      <w:pPr>
        <w:ind w:firstLine="2940" w:firstLineChars="1400"/>
        <w:rPr>
          <w:rFonts w:hint="eastAsia" w:ascii="仿宋_GB2312" w:hAnsi="仿宋_GB2312" w:eastAsia="仿宋_GB2312" w:cs="仿宋_GB2312"/>
          <w:b w:val="0"/>
          <w:bCs w:val="0"/>
          <w:color w:val="auto"/>
          <w:kern w:val="0"/>
          <w:sz w:val="30"/>
          <w:szCs w:val="30"/>
          <w:lang w:val="en-US" w:eastAsia="zh-CN" w:bidi="ar-SA"/>
        </w:rPr>
      </w:pPr>
      <w:r>
        <w:rPr>
          <w:rFonts w:hint="eastAsia" w:ascii="宋体" w:hAnsi="宋体"/>
          <w:color w:val="auto"/>
          <w:lang w:eastAsia="zh-CN"/>
        </w:rPr>
        <w:t>图</w:t>
      </w:r>
      <w:r>
        <w:rPr>
          <w:rFonts w:hint="eastAsia" w:ascii="宋体" w:hAnsi="宋体"/>
          <w:color w:val="auto"/>
          <w:lang w:val="en-US" w:eastAsia="zh-CN"/>
        </w:rPr>
        <w:t>4-2</w:t>
      </w:r>
      <w:r>
        <w:rPr>
          <w:rFonts w:hint="eastAsia" w:ascii="宋体" w:hAnsi="宋体" w:eastAsia="宋体"/>
          <w:color w:val="auto"/>
        </w:rPr>
        <w:t>太西园规划范围示意图</w:t>
      </w:r>
    </w:p>
    <w:p>
      <w:pPr>
        <w:pStyle w:val="5"/>
        <w:keepNext/>
        <w:keepLines/>
        <w:pageBreakBefore w:val="0"/>
        <w:widowControl w:val="0"/>
        <w:kinsoku/>
        <w:wordWrap/>
        <w:overflowPunct/>
        <w:topLinePunct w:val="0"/>
        <w:autoSpaceDE/>
        <w:autoSpaceDN/>
        <w:bidi w:val="0"/>
        <w:adjustRightInd/>
        <w:snapToGrid/>
        <w:spacing w:line="560" w:lineRule="exact"/>
        <w:ind w:left="0" w:leftChars="0" w:firstLine="643" w:firstLineChars="200"/>
        <w:jc w:val="left"/>
        <w:textAlignment w:val="auto"/>
        <w:rPr>
          <w:rFonts w:hint="eastAsia" w:ascii="仿宋" w:hAnsi="仿宋" w:eastAsia="仿宋" w:cs="仿宋"/>
          <w:color w:val="auto"/>
          <w:sz w:val="32"/>
          <w:szCs w:val="32"/>
          <w:lang w:val="en-US" w:eastAsia="zh-CN"/>
        </w:rPr>
      </w:pPr>
      <w:bookmarkStart w:id="202" w:name="_Toc23702"/>
      <w:bookmarkStart w:id="203" w:name="_Toc1387974855"/>
      <w:bookmarkStart w:id="204" w:name="_Toc27454"/>
      <w:r>
        <w:rPr>
          <w:rFonts w:hint="eastAsia" w:ascii="仿宋" w:hAnsi="仿宋" w:eastAsia="仿宋" w:cs="仿宋"/>
          <w:color w:val="auto"/>
          <w:sz w:val="32"/>
          <w:szCs w:val="32"/>
          <w:lang w:val="en-US" w:eastAsia="zh-CN"/>
        </w:rPr>
        <w:t>(二)崇岗园（原</w:t>
      </w:r>
      <w:r>
        <w:rPr>
          <w:rFonts w:hint="eastAsia" w:ascii="仿宋" w:hAnsi="仿宋" w:eastAsia="仿宋" w:cs="仿宋"/>
          <w:color w:val="auto"/>
          <w:sz w:val="32"/>
          <w:szCs w:val="32"/>
        </w:rPr>
        <w:t>平罗县煤炭集中区</w:t>
      </w:r>
      <w:r>
        <w:rPr>
          <w:rFonts w:hint="eastAsia" w:ascii="仿宋" w:hAnsi="仿宋" w:eastAsia="仿宋" w:cs="仿宋"/>
          <w:color w:val="auto"/>
          <w:sz w:val="32"/>
          <w:szCs w:val="32"/>
          <w:lang w:val="en-US" w:eastAsia="zh-CN"/>
        </w:rPr>
        <w:t>）</w:t>
      </w:r>
      <w:bookmarkEnd w:id="202"/>
      <w:bookmarkEnd w:id="203"/>
      <w:bookmarkEnd w:id="204"/>
    </w:p>
    <w:p>
      <w:pPr>
        <w:keepNext w:val="0"/>
        <w:keepLines w:val="0"/>
        <w:pageBreakBefore w:val="0"/>
        <w:widowControl w:val="0"/>
        <w:tabs>
          <w:tab w:val="left" w:pos="612"/>
        </w:tabs>
        <w:kinsoku/>
        <w:wordWrap/>
        <w:overflowPunct/>
        <w:topLinePunct w:val="0"/>
        <w:autoSpaceDE/>
        <w:autoSpaceDN/>
        <w:bidi w:val="0"/>
        <w:adjustRightInd/>
        <w:snapToGrid/>
        <w:spacing w:line="560" w:lineRule="exact"/>
        <w:ind w:firstLine="600" w:firstLineChars="200"/>
        <w:jc w:val="left"/>
        <w:textAlignment w:val="auto"/>
        <w:rPr>
          <w:rFonts w:hint="eastAsia" w:ascii="仿宋_GB2312" w:hAnsi="仿宋_GB2312" w:eastAsia="仿宋_GB2312" w:cs="仿宋_GB2312"/>
          <w:b/>
          <w:bCs/>
          <w:color w:val="auto"/>
          <w:sz w:val="30"/>
          <w:szCs w:val="30"/>
        </w:rPr>
      </w:pPr>
      <w:r>
        <w:rPr>
          <w:rFonts w:hint="eastAsia" w:ascii="仿宋_GB2312" w:hAnsi="仿宋_GB2312" w:eastAsia="仿宋_GB2312" w:cs="仿宋_GB2312"/>
          <w:color w:val="auto"/>
          <w:sz w:val="30"/>
          <w:szCs w:val="30"/>
          <w:lang w:val="en-US" w:eastAsia="zh-CN"/>
        </w:rPr>
        <w:t>崇岗园位于平罗城区西南部，距县区31公里，紧靠贺兰山边，已建的西线高速公路分别在园区设置进出口，交通十分便捷，位置十分优越，园区规划总面积</w:t>
      </w:r>
      <w:r>
        <w:rPr>
          <w:rFonts w:hint="eastAsia" w:ascii="仿宋_GB2312" w:hAnsi="仿宋_GB2312" w:eastAsia="仿宋_GB2312" w:cs="仿宋_GB2312"/>
          <w:color w:val="auto"/>
          <w:sz w:val="30"/>
          <w:szCs w:val="30"/>
          <w:u w:val="none"/>
          <w:lang w:val="en-US" w:eastAsia="zh-CN"/>
        </w:rPr>
        <w:t>7.14平方公里</w:t>
      </w:r>
      <w:r>
        <w:rPr>
          <w:rFonts w:hint="eastAsia" w:ascii="仿宋_GB2312" w:hAnsi="仿宋_GB2312" w:eastAsia="仿宋_GB2312" w:cs="仿宋_GB2312"/>
          <w:color w:val="auto"/>
          <w:sz w:val="30"/>
          <w:szCs w:val="30"/>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482"/>
        <w:textAlignment w:val="auto"/>
        <w:rPr>
          <w:rFonts w:hint="eastAsia" w:ascii="仿宋_GB2312" w:hAnsi="仿宋_GB2312" w:eastAsia="仿宋_GB2312" w:cs="仿宋_GB2312"/>
          <w:b/>
          <w:bCs/>
          <w:color w:val="auto"/>
          <w:sz w:val="30"/>
          <w:szCs w:val="30"/>
        </w:rPr>
      </w:pPr>
      <w:r>
        <w:rPr>
          <w:rFonts w:hint="eastAsia" w:ascii="仿宋_GB2312" w:hAnsi="仿宋_GB2312" w:eastAsia="仿宋_GB2312" w:cs="仿宋_GB2312"/>
          <w:b/>
          <w:bCs/>
          <w:color w:val="auto"/>
          <w:sz w:val="30"/>
          <w:szCs w:val="30"/>
        </w:rPr>
        <w:t>（1）煤炭洗选加工</w:t>
      </w:r>
      <w:r>
        <w:rPr>
          <w:rFonts w:hint="eastAsia" w:ascii="仿宋_GB2312" w:hAnsi="仿宋_GB2312" w:eastAsia="仿宋_GB2312" w:cs="仿宋_GB2312"/>
          <w:b/>
          <w:bCs/>
          <w:color w:val="auto"/>
          <w:sz w:val="30"/>
          <w:szCs w:val="30"/>
          <w:lang w:eastAsia="zh-CN"/>
        </w:rPr>
        <w:t>片</w:t>
      </w:r>
      <w:r>
        <w:rPr>
          <w:rFonts w:hint="eastAsia" w:ascii="仿宋_GB2312" w:hAnsi="仿宋_GB2312" w:eastAsia="仿宋_GB2312" w:cs="仿宋_GB2312"/>
          <w:b/>
          <w:bCs/>
          <w:color w:val="auto"/>
          <w:sz w:val="30"/>
          <w:szCs w:val="30"/>
        </w:rPr>
        <w:t>区</w:t>
      </w:r>
    </w:p>
    <w:p>
      <w:pPr>
        <w:keepNext w:val="0"/>
        <w:keepLines w:val="0"/>
        <w:pageBreakBefore w:val="0"/>
        <w:widowControl w:val="0"/>
        <w:kinsoku/>
        <w:wordWrap/>
        <w:overflowPunct/>
        <w:topLinePunct w:val="0"/>
        <w:autoSpaceDE/>
        <w:autoSpaceDN/>
        <w:bidi w:val="0"/>
        <w:adjustRightInd/>
        <w:snapToGrid/>
        <w:spacing w:line="560" w:lineRule="exact"/>
        <w:ind w:firstLine="482"/>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位于崇岗园东北部，主要发展煤炭洗选加工。采用不同孔径的筛子，通过振动作用排除混杂在煤中硬度较高的黄铁矿颗粒，把不同粒度级的煤分开，供不同用户使用。将煤粉混入一定量粘结剂或加入一定量的助燃剂，渗合剂，加压制成特定形状的型煤，如煤球、煤砖、蜂窝煤，机车用型煤等。将煤粉与水或重油混合，制成煤水浆或煤油浆燃料。煤炭经过加工可以更好地适合冶金、发电、民用等方面的需要，节省运费、减少环境污染，提高煤炭热能利用率。</w:t>
      </w:r>
    </w:p>
    <w:p>
      <w:pPr>
        <w:keepNext w:val="0"/>
        <w:keepLines w:val="0"/>
        <w:pageBreakBefore w:val="0"/>
        <w:widowControl w:val="0"/>
        <w:kinsoku/>
        <w:wordWrap/>
        <w:overflowPunct/>
        <w:topLinePunct w:val="0"/>
        <w:autoSpaceDE/>
        <w:autoSpaceDN/>
        <w:bidi w:val="0"/>
        <w:adjustRightInd/>
        <w:snapToGrid/>
        <w:spacing w:line="560" w:lineRule="exact"/>
        <w:ind w:firstLine="482"/>
        <w:textAlignment w:val="auto"/>
        <w:rPr>
          <w:rFonts w:hint="eastAsia" w:ascii="仿宋_GB2312" w:hAnsi="仿宋_GB2312" w:eastAsia="仿宋_GB2312" w:cs="仿宋_GB2312"/>
          <w:b/>
          <w:bCs/>
          <w:color w:val="auto"/>
          <w:sz w:val="30"/>
          <w:szCs w:val="30"/>
        </w:rPr>
      </w:pPr>
      <w:r>
        <w:rPr>
          <w:rFonts w:hint="eastAsia" w:ascii="仿宋_GB2312" w:hAnsi="仿宋_GB2312" w:eastAsia="仿宋_GB2312" w:cs="仿宋_GB2312"/>
          <w:b/>
          <w:bCs/>
          <w:color w:val="auto"/>
          <w:sz w:val="30"/>
          <w:szCs w:val="30"/>
        </w:rPr>
        <w:t>（2）煤基炭材加工</w:t>
      </w:r>
      <w:r>
        <w:rPr>
          <w:rFonts w:hint="eastAsia" w:ascii="仿宋_GB2312" w:hAnsi="仿宋_GB2312" w:eastAsia="仿宋_GB2312" w:cs="仿宋_GB2312"/>
          <w:b/>
          <w:bCs/>
          <w:color w:val="auto"/>
          <w:sz w:val="30"/>
          <w:szCs w:val="30"/>
          <w:lang w:eastAsia="zh-CN"/>
        </w:rPr>
        <w:t>片</w:t>
      </w:r>
      <w:r>
        <w:rPr>
          <w:rFonts w:hint="eastAsia" w:ascii="仿宋_GB2312" w:hAnsi="仿宋_GB2312" w:eastAsia="仿宋_GB2312" w:cs="仿宋_GB2312"/>
          <w:b/>
          <w:bCs/>
          <w:color w:val="auto"/>
          <w:sz w:val="30"/>
          <w:szCs w:val="30"/>
        </w:rPr>
        <w:t>区</w:t>
      </w:r>
    </w:p>
    <w:p>
      <w:pPr>
        <w:keepNext w:val="0"/>
        <w:keepLines w:val="0"/>
        <w:pageBreakBefore w:val="0"/>
        <w:widowControl w:val="0"/>
        <w:kinsoku/>
        <w:wordWrap/>
        <w:overflowPunct/>
        <w:topLinePunct w:val="0"/>
        <w:autoSpaceDE/>
        <w:autoSpaceDN/>
        <w:bidi w:val="0"/>
        <w:adjustRightInd/>
        <w:snapToGrid/>
        <w:spacing w:line="560" w:lineRule="exact"/>
        <w:ind w:firstLine="482"/>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位于崇岗园西南部，主要发展煤基炭材加工。主要形成了活性炭、炭块、电极炭、增碳剂等产业聚集，根据生产工艺和应用情况，同时迅速发展富勒烯、</w:t>
      </w:r>
      <w:r>
        <w:rPr>
          <w:rFonts w:hint="eastAsia" w:ascii="仿宋_GB2312" w:hAnsi="仿宋_GB2312" w:eastAsia="仿宋_GB2312" w:cs="仿宋_GB2312"/>
          <w:color w:val="auto"/>
          <w:sz w:val="30"/>
          <w:szCs w:val="30"/>
        </w:rPr>
        <w:fldChar w:fldCharType="begin"/>
      </w:r>
      <w:r>
        <w:rPr>
          <w:rFonts w:hint="eastAsia" w:ascii="仿宋_GB2312" w:hAnsi="仿宋_GB2312" w:eastAsia="仿宋_GB2312" w:cs="仿宋_GB2312"/>
          <w:color w:val="auto"/>
          <w:sz w:val="30"/>
          <w:szCs w:val="30"/>
        </w:rPr>
        <w:instrText xml:space="preserve"> HYPERLINK "https://baike.baidu.com/item/%E7%A2%B3%E7%BA%B3%E7%B1%B3%E7%AE%A1/126904" \t "https://baike.baidu.com/item/%E7%85%A4%E5%9F%BA%E7%82%AD%E6%9D%90%E6%96%99/_blank" </w:instrText>
      </w:r>
      <w:r>
        <w:rPr>
          <w:rFonts w:hint="eastAsia" w:ascii="仿宋_GB2312" w:hAnsi="仿宋_GB2312" w:eastAsia="仿宋_GB2312" w:cs="仿宋_GB2312"/>
          <w:color w:val="auto"/>
          <w:sz w:val="30"/>
          <w:szCs w:val="30"/>
        </w:rPr>
        <w:fldChar w:fldCharType="separate"/>
      </w:r>
      <w:r>
        <w:rPr>
          <w:rFonts w:hint="eastAsia" w:ascii="仿宋_GB2312" w:hAnsi="仿宋_GB2312" w:eastAsia="仿宋_GB2312" w:cs="仿宋_GB2312"/>
          <w:color w:val="auto"/>
          <w:sz w:val="30"/>
          <w:szCs w:val="30"/>
        </w:rPr>
        <w:t>碳纳米管</w:t>
      </w:r>
      <w:r>
        <w:rPr>
          <w:rFonts w:hint="eastAsia" w:ascii="仿宋_GB2312" w:hAnsi="仿宋_GB2312" w:eastAsia="仿宋_GB2312" w:cs="仿宋_GB2312"/>
          <w:color w:val="auto"/>
          <w:sz w:val="30"/>
          <w:szCs w:val="30"/>
        </w:rPr>
        <w:fldChar w:fldCharType="end"/>
      </w:r>
      <w:r>
        <w:rPr>
          <w:rFonts w:hint="eastAsia" w:ascii="仿宋_GB2312" w:hAnsi="仿宋_GB2312" w:eastAsia="仿宋_GB2312" w:cs="仿宋_GB2312"/>
          <w:color w:val="auto"/>
          <w:sz w:val="30"/>
          <w:szCs w:val="30"/>
        </w:rPr>
        <w:t>、碳分子筛等新型炭材料以及用于催化剂的分子筛和航天工业需求的碳纤维、碳合金等多种新型炭材料。鼓励进企业积极进行技术改造提升工艺装备水平和研发煤基炭材高端产业工艺技术，打造成西部地区有影响、有特色的煤基炭材高端产业区。</w:t>
      </w:r>
    </w:p>
    <w:p>
      <w:pPr>
        <w:keepNext w:val="0"/>
        <w:keepLines w:val="0"/>
        <w:pageBreakBefore w:val="0"/>
        <w:widowControl w:val="0"/>
        <w:kinsoku/>
        <w:wordWrap/>
        <w:overflowPunct/>
        <w:topLinePunct w:val="0"/>
        <w:autoSpaceDE/>
        <w:autoSpaceDN/>
        <w:bidi w:val="0"/>
        <w:adjustRightInd/>
        <w:snapToGrid/>
        <w:spacing w:line="560" w:lineRule="exact"/>
        <w:ind w:firstLine="482"/>
        <w:textAlignment w:val="auto"/>
        <w:rPr>
          <w:rFonts w:hint="eastAsia" w:ascii="仿宋_GB2312" w:hAnsi="仿宋_GB2312" w:eastAsia="仿宋_GB2312" w:cs="仿宋_GB2312"/>
          <w:b w:val="0"/>
          <w:bCs w:val="0"/>
          <w:color w:val="auto"/>
          <w:kern w:val="0"/>
          <w:sz w:val="30"/>
          <w:szCs w:val="30"/>
          <w:lang w:val="en-US" w:eastAsia="zh-CN" w:bidi="ar-SA"/>
        </w:rPr>
      </w:pPr>
      <w:r>
        <w:rPr>
          <w:rFonts w:hint="eastAsia" w:ascii="仿宋_GB2312" w:hAnsi="仿宋_GB2312" w:eastAsia="仿宋_GB2312" w:cs="仿宋_GB2312"/>
          <w:b/>
          <w:bCs/>
          <w:color w:val="auto"/>
          <w:sz w:val="30"/>
          <w:szCs w:val="30"/>
          <w:lang w:val="en-US" w:eastAsia="zh-CN"/>
        </w:rPr>
        <w:t>重点发展</w:t>
      </w:r>
      <w:r>
        <w:rPr>
          <w:rFonts w:hint="eastAsia" w:ascii="仿宋_GB2312" w:hAnsi="仿宋_GB2312" w:eastAsia="仿宋_GB2312" w:cs="仿宋_GB2312"/>
          <w:b w:val="0"/>
          <w:bCs w:val="0"/>
          <w:color w:val="auto"/>
          <w:kern w:val="0"/>
          <w:sz w:val="30"/>
          <w:szCs w:val="30"/>
          <w:lang w:val="en-US" w:eastAsia="zh-CN" w:bidi="ar-SA"/>
        </w:rPr>
        <w:t>：以精洗煤、增炭剂为主的</w:t>
      </w:r>
      <w:r>
        <w:rPr>
          <w:rFonts w:hint="eastAsia" w:ascii="仿宋_GB2312" w:hAnsi="仿宋_GB2312" w:eastAsia="仿宋_GB2312" w:cs="仿宋_GB2312"/>
          <w:b w:val="0"/>
          <w:bCs w:val="0"/>
          <w:color w:val="auto"/>
          <w:sz w:val="30"/>
          <w:szCs w:val="30"/>
        </w:rPr>
        <w:t>煤炭洗选加工区</w:t>
      </w:r>
      <w:r>
        <w:rPr>
          <w:rFonts w:hint="eastAsia" w:ascii="仿宋_GB2312" w:hAnsi="仿宋_GB2312" w:eastAsia="仿宋_GB2312" w:cs="仿宋_GB2312"/>
          <w:b w:val="0"/>
          <w:bCs w:val="0"/>
          <w:color w:val="auto"/>
          <w:sz w:val="30"/>
          <w:szCs w:val="30"/>
          <w:lang w:eastAsia="zh-CN"/>
        </w:rPr>
        <w:t>，</w:t>
      </w:r>
      <w:r>
        <w:rPr>
          <w:rFonts w:hint="eastAsia" w:ascii="仿宋_GB2312" w:hAnsi="仿宋_GB2312" w:eastAsia="仿宋_GB2312" w:cs="仿宋_GB2312"/>
          <w:b w:val="0"/>
          <w:bCs w:val="0"/>
          <w:color w:val="auto"/>
          <w:kern w:val="0"/>
          <w:sz w:val="30"/>
          <w:szCs w:val="30"/>
          <w:lang w:val="en-US" w:eastAsia="zh-CN" w:bidi="ar-SA"/>
        </w:rPr>
        <w:t>以活性炭、煅煤为主的西部地区碳基材料特色加工区。</w:t>
      </w:r>
    </w:p>
    <w:p>
      <w:pPr>
        <w:pStyle w:val="20"/>
        <w:rPr>
          <w:rFonts w:hint="eastAsia" w:ascii="仿宋_GB2312" w:hAnsi="仿宋_GB2312" w:eastAsia="仿宋_GB2312" w:cs="仿宋_GB2312"/>
          <w:b w:val="0"/>
          <w:bCs w:val="0"/>
          <w:color w:val="auto"/>
          <w:kern w:val="0"/>
          <w:sz w:val="30"/>
          <w:szCs w:val="30"/>
          <w:lang w:val="en-US" w:eastAsia="zh-CN" w:bidi="ar-SA"/>
        </w:rPr>
      </w:pPr>
      <w:r>
        <w:rPr>
          <w:rFonts w:hint="eastAsia" w:ascii="仿宋_GB2312" w:hAnsi="仿宋_GB2312" w:eastAsia="仿宋_GB2312" w:cs="仿宋_GB2312"/>
          <w:b w:val="0"/>
          <w:bCs w:val="0"/>
          <w:color w:val="auto"/>
          <w:kern w:val="0"/>
          <w:sz w:val="30"/>
          <w:szCs w:val="30"/>
          <w:lang w:val="en-US" w:eastAsia="zh-CN" w:bidi="ar-SA"/>
        </w:rPr>
        <w:drawing>
          <wp:inline distT="0" distB="0" distL="114300" distR="114300">
            <wp:extent cx="4114165" cy="3421380"/>
            <wp:effectExtent l="0" t="0" r="635" b="7620"/>
            <wp:docPr id="4" name="图片 4" descr="5ea1e29d50ef3c0dd23a75004c07f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ea1e29d50ef3c0dd23a75004c07f55"/>
                    <pic:cNvPicPr>
                      <a:picLocks noChangeAspect="1"/>
                    </pic:cNvPicPr>
                  </pic:nvPicPr>
                  <pic:blipFill>
                    <a:blip r:embed="rId10"/>
                    <a:stretch>
                      <a:fillRect/>
                    </a:stretch>
                  </pic:blipFill>
                  <pic:spPr>
                    <a:xfrm>
                      <a:off x="0" y="0"/>
                      <a:ext cx="4114165" cy="3421380"/>
                    </a:xfrm>
                    <a:prstGeom prst="rect">
                      <a:avLst/>
                    </a:prstGeom>
                  </pic:spPr>
                </pic:pic>
              </a:graphicData>
            </a:graphic>
          </wp:inline>
        </w:drawing>
      </w:r>
    </w:p>
    <w:p>
      <w:pPr>
        <w:ind w:firstLine="2940" w:firstLineChars="1400"/>
        <w:rPr>
          <w:rFonts w:hint="eastAsia" w:ascii="仿宋_GB2312" w:hAnsi="仿宋_GB2312" w:eastAsia="仿宋_GB2312" w:cs="仿宋_GB2312"/>
          <w:b w:val="0"/>
          <w:bCs w:val="0"/>
          <w:color w:val="auto"/>
          <w:kern w:val="0"/>
          <w:sz w:val="30"/>
          <w:szCs w:val="30"/>
          <w:lang w:val="en-US" w:eastAsia="zh-CN" w:bidi="ar-SA"/>
        </w:rPr>
      </w:pPr>
      <w:r>
        <w:rPr>
          <w:rFonts w:hint="eastAsia" w:ascii="宋体" w:hAnsi="宋体" w:eastAsia="宋体"/>
          <w:color w:val="auto"/>
        </w:rPr>
        <w:t xml:space="preserve">图 </w:t>
      </w:r>
      <w:r>
        <w:rPr>
          <w:rFonts w:hint="eastAsia" w:ascii="宋体" w:hAnsi="宋体"/>
          <w:color w:val="auto"/>
          <w:lang w:val="en-US" w:eastAsia="zh-CN"/>
        </w:rPr>
        <w:t>4-3</w:t>
      </w:r>
      <w:r>
        <w:rPr>
          <w:rFonts w:hint="eastAsia" w:ascii="宋体" w:hAnsi="宋体" w:eastAsia="宋体"/>
          <w:color w:val="auto"/>
        </w:rPr>
        <w:t>崇岗园规划范围示意图</w:t>
      </w:r>
    </w:p>
    <w:p>
      <w:pPr>
        <w:pStyle w:val="5"/>
        <w:pageBreakBefore w:val="0"/>
        <w:widowControl w:val="0"/>
        <w:kinsoku/>
        <w:wordWrap/>
        <w:overflowPunct/>
        <w:topLinePunct w:val="0"/>
        <w:autoSpaceDE/>
        <w:autoSpaceDN/>
        <w:bidi w:val="0"/>
        <w:spacing w:line="560" w:lineRule="exact"/>
        <w:ind w:firstLine="643" w:firstLineChars="200"/>
        <w:textAlignment w:val="auto"/>
        <w:rPr>
          <w:rFonts w:hint="eastAsia" w:ascii="仿宋" w:hAnsi="仿宋" w:eastAsia="仿宋" w:cs="仿宋"/>
          <w:color w:val="auto"/>
          <w:sz w:val="32"/>
          <w:szCs w:val="32"/>
          <w:lang w:val="en-US" w:eastAsia="zh-CN"/>
        </w:rPr>
      </w:pPr>
      <w:bookmarkStart w:id="205" w:name="_Toc1327153434"/>
      <w:bookmarkStart w:id="206" w:name="_Toc16972"/>
      <w:bookmarkStart w:id="207" w:name="_Toc6761"/>
      <w:r>
        <w:rPr>
          <w:rFonts w:hint="eastAsia" w:ascii="仿宋" w:hAnsi="仿宋" w:eastAsia="仿宋" w:cs="仿宋"/>
          <w:color w:val="auto"/>
          <w:sz w:val="32"/>
          <w:szCs w:val="32"/>
          <w:lang w:val="en-US" w:eastAsia="zh-CN"/>
        </w:rPr>
        <w:t>(三)红崖子园（原</w:t>
      </w:r>
      <w:r>
        <w:rPr>
          <w:rFonts w:hint="eastAsia" w:ascii="仿宋" w:hAnsi="仿宋" w:eastAsia="仿宋" w:cs="仿宋"/>
          <w:color w:val="auto"/>
          <w:sz w:val="32"/>
          <w:szCs w:val="32"/>
        </w:rPr>
        <w:t>宁夏精细化工基地</w:t>
      </w:r>
      <w:r>
        <w:rPr>
          <w:rFonts w:hint="eastAsia" w:ascii="仿宋" w:hAnsi="仿宋" w:eastAsia="仿宋" w:cs="仿宋"/>
          <w:color w:val="auto"/>
          <w:sz w:val="32"/>
          <w:szCs w:val="32"/>
          <w:lang w:val="en-US" w:eastAsia="zh-CN"/>
        </w:rPr>
        <w:t>）</w:t>
      </w:r>
      <w:bookmarkEnd w:id="205"/>
      <w:bookmarkEnd w:id="206"/>
      <w:bookmarkEnd w:id="207"/>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仿宋_GB2312" w:hAnsi="仿宋_GB2312" w:eastAsia="仿宋_GB2312" w:cs="仿宋_GB2312"/>
          <w:b/>
          <w:bCs/>
          <w:color w:val="auto"/>
          <w:sz w:val="30"/>
          <w:szCs w:val="30"/>
        </w:rPr>
      </w:pPr>
      <w:r>
        <w:rPr>
          <w:rFonts w:hint="eastAsia" w:ascii="仿宋_GB2312" w:hAnsi="仿宋_GB2312" w:eastAsia="仿宋_GB2312" w:cs="仿宋_GB2312"/>
          <w:color w:val="auto"/>
          <w:sz w:val="30"/>
          <w:szCs w:val="30"/>
          <w:lang w:val="en-US" w:eastAsia="zh-CN"/>
        </w:rPr>
        <w:t>红崖子园位于平罗县红崖子乡，距平罗县城区50公里，</w:t>
      </w:r>
      <w:r>
        <w:rPr>
          <w:rFonts w:hint="eastAsia" w:ascii="仿宋_GB2312" w:hAnsi="仿宋_GB2312" w:eastAsia="仿宋_GB2312" w:cs="仿宋_GB2312"/>
          <w:b w:val="0"/>
          <w:bCs/>
          <w:color w:val="auto"/>
          <w:sz w:val="30"/>
          <w:szCs w:val="30"/>
        </w:rPr>
        <w:t>始建于2006年，是宁夏</w:t>
      </w:r>
      <w:r>
        <w:rPr>
          <w:rFonts w:hint="eastAsia" w:ascii="仿宋_GB2312" w:hAnsi="仿宋_GB2312" w:eastAsia="仿宋_GB2312" w:cs="仿宋_GB2312"/>
          <w:b w:val="0"/>
          <w:bCs/>
          <w:color w:val="auto"/>
          <w:sz w:val="30"/>
          <w:szCs w:val="30"/>
          <w:lang w:eastAsia="zh-CN"/>
        </w:rPr>
        <w:t>回族</w:t>
      </w:r>
      <w:r>
        <w:rPr>
          <w:rFonts w:hint="eastAsia" w:ascii="仿宋_GB2312" w:hAnsi="仿宋_GB2312" w:eastAsia="仿宋_GB2312" w:cs="仿宋_GB2312"/>
          <w:b w:val="0"/>
          <w:bCs/>
          <w:color w:val="auto"/>
          <w:sz w:val="30"/>
          <w:szCs w:val="30"/>
        </w:rPr>
        <w:t>自治区人民政府批准建设的省级工业园区，</w:t>
      </w:r>
      <w:r>
        <w:rPr>
          <w:rFonts w:hint="eastAsia" w:ascii="仿宋_GB2312" w:hAnsi="仿宋_GB2312" w:eastAsia="仿宋_GB2312" w:cs="仿宋_GB2312"/>
          <w:b w:val="0"/>
          <w:bCs/>
          <w:color w:val="auto"/>
          <w:sz w:val="30"/>
          <w:szCs w:val="30"/>
          <w:lang w:eastAsia="zh-CN"/>
        </w:rPr>
        <w:t>规划</w:t>
      </w:r>
      <w:r>
        <w:rPr>
          <w:rFonts w:hint="eastAsia" w:ascii="仿宋_GB2312" w:hAnsi="仿宋_GB2312" w:eastAsia="仿宋_GB2312" w:cs="仿宋_GB2312"/>
          <w:b w:val="0"/>
          <w:bCs/>
          <w:color w:val="auto"/>
          <w:sz w:val="30"/>
          <w:szCs w:val="30"/>
        </w:rPr>
        <w:t>面积</w:t>
      </w:r>
      <w:r>
        <w:rPr>
          <w:rFonts w:hint="eastAsia" w:ascii="仿宋_GB2312" w:hAnsi="仿宋_GB2312" w:eastAsia="仿宋_GB2312" w:cs="仿宋_GB2312"/>
          <w:b w:val="0"/>
          <w:bCs/>
          <w:color w:val="auto"/>
          <w:sz w:val="30"/>
          <w:szCs w:val="30"/>
          <w:lang w:val="en-US" w:eastAsia="zh-CN"/>
        </w:rPr>
        <w:t>13.5</w:t>
      </w:r>
      <w:r>
        <w:rPr>
          <w:rFonts w:hint="eastAsia" w:ascii="仿宋_GB2312" w:hAnsi="仿宋_GB2312" w:eastAsia="仿宋_GB2312" w:cs="仿宋_GB2312"/>
          <w:b w:val="0"/>
          <w:bCs/>
          <w:color w:val="auto"/>
          <w:sz w:val="30"/>
          <w:szCs w:val="30"/>
        </w:rPr>
        <w:t>平方公里。</w:t>
      </w:r>
      <w:r>
        <w:rPr>
          <w:rFonts w:hint="eastAsia" w:ascii="仿宋_GB2312" w:hAnsi="仿宋_GB2312" w:eastAsia="仿宋_GB2312" w:cs="仿宋_GB2312"/>
          <w:color w:val="auto"/>
          <w:sz w:val="30"/>
          <w:szCs w:val="30"/>
        </w:rPr>
        <w:t>精细化工</w:t>
      </w:r>
      <w:r>
        <w:rPr>
          <w:rFonts w:hint="eastAsia" w:ascii="仿宋_GB2312" w:hAnsi="仿宋_GB2312" w:eastAsia="仿宋_GB2312" w:cs="仿宋_GB2312"/>
          <w:color w:val="auto"/>
          <w:sz w:val="30"/>
          <w:szCs w:val="30"/>
          <w:lang w:eastAsia="zh-CN"/>
        </w:rPr>
        <w:t>产业园</w:t>
      </w:r>
      <w:r>
        <w:rPr>
          <w:rFonts w:hint="eastAsia" w:ascii="仿宋_GB2312" w:hAnsi="仿宋_GB2312" w:eastAsia="仿宋_GB2312" w:cs="仿宋_GB2312"/>
          <w:color w:val="auto"/>
          <w:sz w:val="30"/>
          <w:szCs w:val="30"/>
        </w:rPr>
        <w:t>西侧紧靠244国道，向南接青银高速公路，距离银川河东机场90公里</w:t>
      </w:r>
      <w:r>
        <w:rPr>
          <w:rFonts w:hint="eastAsia" w:ascii="仿宋_GB2312" w:hAnsi="仿宋_GB2312" w:eastAsia="仿宋_GB2312" w:cs="仿宋_GB2312"/>
          <w:color w:val="auto"/>
          <w:sz w:val="30"/>
          <w:szCs w:val="30"/>
          <w:lang w:eastAsia="zh-CN"/>
        </w:rPr>
        <w:t>；</w:t>
      </w:r>
      <w:r>
        <w:rPr>
          <w:rFonts w:hint="eastAsia" w:ascii="仿宋_GB2312" w:hAnsi="仿宋_GB2312" w:eastAsia="仿宋_GB2312" w:cs="仿宋_GB2312"/>
          <w:color w:val="auto"/>
          <w:sz w:val="30"/>
          <w:szCs w:val="30"/>
        </w:rPr>
        <w:t>北通惠农区和内蒙乌海</w:t>
      </w:r>
      <w:r>
        <w:rPr>
          <w:rFonts w:hint="eastAsia" w:ascii="仿宋_GB2312" w:hAnsi="仿宋_GB2312" w:eastAsia="仿宋_GB2312" w:cs="仿宋_GB2312"/>
          <w:color w:val="auto"/>
          <w:sz w:val="30"/>
          <w:szCs w:val="30"/>
          <w:lang w:eastAsia="zh-CN"/>
        </w:rPr>
        <w:t>市</w:t>
      </w:r>
      <w:r>
        <w:rPr>
          <w:rFonts w:hint="eastAsia" w:ascii="仿宋_GB2312" w:hAnsi="仿宋_GB2312" w:eastAsia="仿宋_GB2312" w:cs="仿宋_GB2312"/>
          <w:color w:val="auto"/>
          <w:sz w:val="30"/>
          <w:szCs w:val="30"/>
        </w:rPr>
        <w:t>，距离乌海</w:t>
      </w:r>
      <w:r>
        <w:rPr>
          <w:rFonts w:hint="eastAsia" w:ascii="仿宋_GB2312" w:hAnsi="仿宋_GB2312" w:eastAsia="仿宋_GB2312" w:cs="仿宋_GB2312"/>
          <w:color w:val="auto"/>
          <w:sz w:val="30"/>
          <w:szCs w:val="30"/>
          <w:lang w:eastAsia="zh-CN"/>
        </w:rPr>
        <w:t>市</w:t>
      </w:r>
      <w:r>
        <w:rPr>
          <w:rFonts w:hint="eastAsia" w:ascii="仿宋_GB2312" w:hAnsi="仿宋_GB2312" w:eastAsia="仿宋_GB2312" w:cs="仿宋_GB2312"/>
          <w:color w:val="auto"/>
          <w:sz w:val="30"/>
          <w:szCs w:val="30"/>
        </w:rPr>
        <w:t>72公里，距离惠农陆路口岸28公里</w:t>
      </w:r>
      <w:r>
        <w:rPr>
          <w:rFonts w:hint="eastAsia" w:ascii="仿宋_GB2312" w:hAnsi="仿宋_GB2312" w:eastAsia="仿宋_GB2312" w:cs="仿宋_GB2312"/>
          <w:color w:val="auto"/>
          <w:sz w:val="30"/>
          <w:szCs w:val="30"/>
          <w:lang w:eastAsia="zh-CN"/>
        </w:rPr>
        <w:t>；</w:t>
      </w:r>
      <w:r>
        <w:rPr>
          <w:rFonts w:hint="eastAsia" w:ascii="仿宋_GB2312" w:hAnsi="仿宋_GB2312" w:eastAsia="仿宋_GB2312" w:cs="仿宋_GB2312"/>
          <w:color w:val="auto"/>
          <w:sz w:val="30"/>
          <w:szCs w:val="30"/>
        </w:rPr>
        <w:t>已建成的红赛公路（园区至鄂托克后旗三北羊场），打通</w:t>
      </w:r>
      <w:r>
        <w:rPr>
          <w:rFonts w:hint="eastAsia" w:ascii="仿宋_GB2312" w:hAnsi="仿宋_GB2312" w:eastAsia="仿宋_GB2312" w:cs="仿宋_GB2312"/>
          <w:color w:val="auto"/>
          <w:sz w:val="30"/>
          <w:szCs w:val="30"/>
          <w:lang w:eastAsia="zh-CN"/>
        </w:rPr>
        <w:t>了</w:t>
      </w:r>
      <w:r>
        <w:rPr>
          <w:rFonts w:hint="eastAsia" w:ascii="仿宋_GB2312" w:hAnsi="仿宋_GB2312" w:eastAsia="仿宋_GB2312" w:cs="仿宋_GB2312"/>
          <w:color w:val="auto"/>
          <w:sz w:val="30"/>
          <w:szCs w:val="30"/>
        </w:rPr>
        <w:t>园区向东的出</w:t>
      </w:r>
      <w:r>
        <w:rPr>
          <w:rFonts w:hint="eastAsia" w:ascii="仿宋_GB2312" w:hAnsi="仿宋_GB2312" w:eastAsia="仿宋_GB2312" w:cs="仿宋_GB2312"/>
          <w:color w:val="auto"/>
          <w:sz w:val="30"/>
          <w:szCs w:val="30"/>
          <w:lang w:eastAsia="zh-CN"/>
        </w:rPr>
        <w:t>口；西经红崖子黄河大桥直通青藏高速，道路畅通，交通便捷。</w:t>
      </w:r>
      <w:r>
        <w:rPr>
          <w:rFonts w:hint="eastAsia" w:ascii="仿宋_GB2312" w:hAnsi="仿宋_GB2312" w:eastAsia="仿宋_GB2312" w:cs="仿宋_GB2312"/>
          <w:b w:val="0"/>
          <w:bCs w:val="0"/>
          <w:color w:val="auto"/>
          <w:kern w:val="0"/>
          <w:sz w:val="30"/>
          <w:szCs w:val="30"/>
          <w:lang w:val="en-US" w:eastAsia="zh-CN" w:bidi="ar-SA"/>
        </w:rPr>
        <w:t>园区内道路、供电、污水、天然气、供水、通讯、绿化设施完善。日供水能力5万立方米，日处理污水5000立方米，配套建设危废处理站，为企业投资置业提供了良好的承载平台。</w:t>
      </w:r>
      <w:r>
        <w:rPr>
          <w:rFonts w:hint="eastAsia" w:ascii="仿宋_GB2312" w:hAnsi="仿宋_GB2312" w:eastAsia="仿宋_GB2312" w:cs="仿宋_GB2312"/>
          <w:color w:val="auto"/>
          <w:sz w:val="30"/>
          <w:szCs w:val="30"/>
        </w:rPr>
        <w:t>在红崖子园布局精细化工片区和</w:t>
      </w:r>
      <w:r>
        <w:rPr>
          <w:rFonts w:hint="eastAsia" w:ascii="仿宋_GB2312" w:hAnsi="仿宋_GB2312" w:eastAsia="仿宋_GB2312" w:cs="仿宋_GB2312"/>
          <w:color w:val="auto"/>
          <w:sz w:val="30"/>
          <w:szCs w:val="30"/>
          <w:lang w:eastAsia="zh-CN"/>
        </w:rPr>
        <w:t>传统产业提升改造片区两</w:t>
      </w:r>
      <w:r>
        <w:rPr>
          <w:rFonts w:hint="eastAsia" w:ascii="仿宋_GB2312" w:hAnsi="仿宋_GB2312" w:eastAsia="仿宋_GB2312" w:cs="仿宋_GB2312"/>
          <w:color w:val="auto"/>
          <w:sz w:val="30"/>
          <w:szCs w:val="30"/>
        </w:rPr>
        <w:t>大产业片区。</w:t>
      </w:r>
    </w:p>
    <w:p>
      <w:pPr>
        <w:keepNext w:val="0"/>
        <w:keepLines w:val="0"/>
        <w:pageBreakBefore w:val="0"/>
        <w:widowControl w:val="0"/>
        <w:kinsoku/>
        <w:wordWrap/>
        <w:overflowPunct/>
        <w:topLinePunct w:val="0"/>
        <w:autoSpaceDE/>
        <w:autoSpaceDN/>
        <w:bidi w:val="0"/>
        <w:spacing w:line="560" w:lineRule="exact"/>
        <w:ind w:firstLine="480"/>
        <w:textAlignment w:val="auto"/>
        <w:rPr>
          <w:rFonts w:hint="eastAsia" w:ascii="仿宋_GB2312" w:hAnsi="仿宋_GB2312" w:eastAsia="仿宋_GB2312" w:cs="仿宋_GB2312"/>
          <w:b/>
          <w:bCs/>
          <w:color w:val="auto"/>
          <w:sz w:val="30"/>
          <w:szCs w:val="30"/>
        </w:rPr>
      </w:pPr>
      <w:r>
        <w:rPr>
          <w:rFonts w:hint="eastAsia" w:ascii="仿宋_GB2312" w:hAnsi="仿宋_GB2312" w:eastAsia="仿宋_GB2312" w:cs="仿宋_GB2312"/>
          <w:b/>
          <w:bCs/>
          <w:color w:val="auto"/>
          <w:sz w:val="30"/>
          <w:szCs w:val="30"/>
        </w:rPr>
        <w:t>（1）精细化工片区</w:t>
      </w:r>
    </w:p>
    <w:p>
      <w:pPr>
        <w:keepNext w:val="0"/>
        <w:keepLines w:val="0"/>
        <w:pageBreakBefore w:val="0"/>
        <w:widowControl w:val="0"/>
        <w:kinsoku/>
        <w:wordWrap/>
        <w:overflowPunct/>
        <w:topLinePunct w:val="0"/>
        <w:autoSpaceDE/>
        <w:autoSpaceDN/>
        <w:bidi w:val="0"/>
        <w:spacing w:line="560" w:lineRule="exact"/>
        <w:ind w:firstLine="600" w:firstLineChars="200"/>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位于红崖子园的</w:t>
      </w:r>
      <w:r>
        <w:rPr>
          <w:rFonts w:hint="eastAsia" w:ascii="仿宋_GB2312" w:hAnsi="仿宋_GB2312" w:eastAsia="仿宋_GB2312" w:cs="仿宋_GB2312"/>
          <w:color w:val="auto"/>
          <w:sz w:val="30"/>
          <w:szCs w:val="30"/>
          <w:lang w:eastAsia="zh-CN"/>
        </w:rPr>
        <w:t>中部、南部</w:t>
      </w:r>
      <w:r>
        <w:rPr>
          <w:rFonts w:hint="eastAsia" w:ascii="仿宋_GB2312" w:hAnsi="仿宋_GB2312" w:eastAsia="仿宋_GB2312" w:cs="仿宋_GB2312"/>
          <w:color w:val="auto"/>
          <w:sz w:val="30"/>
          <w:szCs w:val="30"/>
        </w:rPr>
        <w:t>，主要发展精细化工、新型煤化工等产业。以发展氰胺化工及下游中间体、PVA及下游制品、农药及土壤改良剂等比较优势产业为基础，通过吸收消化再创新一批高技术含量、高附加值、有产业化前景的新技术精细化工产品，进一步延伸产业链。</w:t>
      </w:r>
    </w:p>
    <w:p>
      <w:pPr>
        <w:keepNext w:val="0"/>
        <w:keepLines w:val="0"/>
        <w:pageBreakBefore w:val="0"/>
        <w:widowControl w:val="0"/>
        <w:kinsoku/>
        <w:wordWrap/>
        <w:overflowPunct/>
        <w:topLinePunct w:val="0"/>
        <w:autoSpaceDE/>
        <w:autoSpaceDN/>
        <w:bidi w:val="0"/>
        <w:spacing w:line="560" w:lineRule="exact"/>
        <w:ind w:firstLine="480"/>
        <w:textAlignment w:val="auto"/>
        <w:rPr>
          <w:rFonts w:hint="eastAsia" w:ascii="仿宋_GB2312" w:hAnsi="仿宋_GB2312" w:eastAsia="仿宋_GB2312" w:cs="仿宋_GB2312"/>
          <w:b/>
          <w:bCs/>
          <w:color w:val="auto"/>
          <w:sz w:val="30"/>
          <w:szCs w:val="30"/>
          <w:lang w:eastAsia="zh-CN"/>
        </w:rPr>
      </w:pPr>
      <w:r>
        <w:rPr>
          <w:rFonts w:hint="eastAsia" w:ascii="仿宋_GB2312" w:hAnsi="仿宋_GB2312" w:eastAsia="仿宋_GB2312" w:cs="仿宋_GB2312"/>
          <w:b/>
          <w:bCs/>
          <w:color w:val="auto"/>
          <w:sz w:val="30"/>
          <w:szCs w:val="30"/>
        </w:rPr>
        <w:t>（</w:t>
      </w:r>
      <w:r>
        <w:rPr>
          <w:rFonts w:hint="eastAsia" w:ascii="仿宋_GB2312" w:hAnsi="仿宋_GB2312" w:eastAsia="仿宋_GB2312" w:cs="仿宋_GB2312"/>
          <w:b/>
          <w:bCs/>
          <w:color w:val="auto"/>
          <w:sz w:val="30"/>
          <w:szCs w:val="30"/>
          <w:lang w:val="en-US" w:eastAsia="zh-CN"/>
        </w:rPr>
        <w:t>2</w:t>
      </w:r>
      <w:r>
        <w:rPr>
          <w:rFonts w:hint="eastAsia" w:ascii="仿宋_GB2312" w:hAnsi="仿宋_GB2312" w:eastAsia="仿宋_GB2312" w:cs="仿宋_GB2312"/>
          <w:b/>
          <w:bCs/>
          <w:color w:val="auto"/>
          <w:sz w:val="30"/>
          <w:szCs w:val="30"/>
        </w:rPr>
        <w:t>）</w:t>
      </w:r>
      <w:r>
        <w:rPr>
          <w:rFonts w:hint="eastAsia" w:ascii="仿宋_GB2312" w:hAnsi="仿宋_GB2312" w:eastAsia="仿宋_GB2312" w:cs="仿宋_GB2312"/>
          <w:b/>
          <w:bCs/>
          <w:color w:val="auto"/>
          <w:sz w:val="30"/>
          <w:szCs w:val="30"/>
          <w:lang w:eastAsia="zh-CN"/>
        </w:rPr>
        <w:t>传统产业提升改造片区</w:t>
      </w:r>
    </w:p>
    <w:p>
      <w:pPr>
        <w:keepNext w:val="0"/>
        <w:keepLines w:val="0"/>
        <w:pageBreakBefore w:val="0"/>
        <w:widowControl w:val="0"/>
        <w:kinsoku/>
        <w:wordWrap/>
        <w:overflowPunct/>
        <w:topLinePunct w:val="0"/>
        <w:autoSpaceDE/>
        <w:autoSpaceDN/>
        <w:bidi w:val="0"/>
        <w:spacing w:line="560" w:lineRule="exact"/>
        <w:ind w:firstLine="480"/>
        <w:textAlignment w:val="auto"/>
        <w:rPr>
          <w:rFonts w:hint="eastAsia" w:ascii="宋体" w:hAnsi="宋体" w:eastAsia="宋体"/>
          <w:color w:val="auto"/>
          <w:sz w:val="30"/>
          <w:szCs w:val="30"/>
        </w:rPr>
      </w:pPr>
      <w:r>
        <w:rPr>
          <w:rFonts w:hint="eastAsia" w:ascii="仿宋_GB2312" w:hAnsi="仿宋_GB2312" w:eastAsia="仿宋_GB2312" w:cs="仿宋_GB2312"/>
          <w:color w:val="auto"/>
          <w:sz w:val="30"/>
          <w:szCs w:val="30"/>
        </w:rPr>
        <w:t>位于红崖子园的</w:t>
      </w:r>
      <w:r>
        <w:rPr>
          <w:rFonts w:hint="eastAsia" w:ascii="仿宋_GB2312" w:hAnsi="仿宋_GB2312" w:eastAsia="仿宋_GB2312" w:cs="仿宋_GB2312"/>
          <w:color w:val="auto"/>
          <w:sz w:val="30"/>
          <w:szCs w:val="30"/>
          <w:lang w:eastAsia="zh-CN"/>
        </w:rPr>
        <w:t>东北部</w:t>
      </w:r>
      <w:r>
        <w:rPr>
          <w:rFonts w:hint="eastAsia" w:ascii="仿宋_GB2312" w:hAnsi="仿宋_GB2312" w:eastAsia="仿宋_GB2312" w:cs="仿宋_GB2312"/>
          <w:color w:val="auto"/>
          <w:sz w:val="30"/>
          <w:szCs w:val="30"/>
        </w:rPr>
        <w:t>，主要发展特色冶金、能源电力和静脉产业等，利用特色冶金产业生产时产生的烟气、煤化工产业生产过程中产生的煤矸石发展热电联产，同时利用基地生产过程中产生的各种工业废渣发展静脉建材产业，减少污染排放，提高各种资源的综合利用效率。</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2" w:firstLineChars="200"/>
        <w:jc w:val="both"/>
        <w:textAlignment w:val="auto"/>
        <w:outlineLvl w:val="9"/>
        <w:rPr>
          <w:rFonts w:hint="eastAsia" w:ascii="仿宋_GB2312" w:hAnsi="仿宋_GB2312" w:eastAsia="仿宋_GB2312" w:cs="仿宋_GB2312"/>
          <w:b w:val="0"/>
          <w:bCs w:val="0"/>
          <w:color w:val="auto"/>
          <w:kern w:val="0"/>
          <w:sz w:val="30"/>
          <w:szCs w:val="30"/>
          <w:lang w:val="en-US" w:eastAsia="zh-CN" w:bidi="ar-SA"/>
        </w:rPr>
      </w:pPr>
      <w:r>
        <w:rPr>
          <w:rFonts w:hint="eastAsia" w:ascii="仿宋_GB2312" w:hAnsi="仿宋_GB2312" w:eastAsia="仿宋_GB2312" w:cs="仿宋_GB2312"/>
          <w:b/>
          <w:bCs/>
          <w:color w:val="auto"/>
          <w:sz w:val="30"/>
          <w:szCs w:val="30"/>
          <w:lang w:val="en-US" w:eastAsia="zh-CN"/>
        </w:rPr>
        <w:t>重点发展</w:t>
      </w:r>
      <w:r>
        <w:rPr>
          <w:rFonts w:hint="eastAsia" w:ascii="仿宋_GB2312" w:hAnsi="仿宋_GB2312" w:eastAsia="仿宋_GB2312" w:cs="仿宋_GB2312"/>
          <w:b w:val="0"/>
          <w:bCs w:val="0"/>
          <w:color w:val="auto"/>
          <w:kern w:val="0"/>
          <w:sz w:val="30"/>
          <w:szCs w:val="30"/>
          <w:lang w:val="en-US" w:eastAsia="zh-CN" w:bidi="ar-SA"/>
        </w:rPr>
        <w:t>：以精细化工产业，发展农药及土壤改良剂等比较优势产业为基础，通过吸收消化再创新一批高技术含量、高附加值、有产业化前景的新技术精细化工产品，进一步延伸产业链，培育壮大精细化工产业，形成产业集聚效应。</w:t>
      </w:r>
    </w:p>
    <w:p>
      <w:pPr>
        <w:pStyle w:val="20"/>
        <w:ind w:left="420" w:leftChars="200" w:firstLine="219" w:firstLineChars="73"/>
        <w:rPr>
          <w:rFonts w:hint="eastAsia" w:ascii="仿宋_GB2312" w:hAnsi="仿宋_GB2312" w:eastAsia="仿宋_GB2312" w:cs="仿宋_GB2312"/>
          <w:b w:val="0"/>
          <w:bCs w:val="0"/>
          <w:color w:val="auto"/>
          <w:kern w:val="0"/>
          <w:sz w:val="30"/>
          <w:szCs w:val="30"/>
          <w:lang w:val="en-US" w:eastAsia="zh-CN" w:bidi="ar-SA"/>
        </w:rPr>
      </w:pPr>
      <w:r>
        <w:rPr>
          <w:rFonts w:hint="eastAsia" w:ascii="仿宋_GB2312" w:hAnsi="仿宋_GB2312" w:cs="仿宋_GB2312"/>
          <w:b w:val="0"/>
          <w:bCs w:val="0"/>
          <w:color w:val="auto"/>
          <w:kern w:val="0"/>
          <w:sz w:val="30"/>
          <w:szCs w:val="30"/>
          <w:lang w:val="en-US" w:eastAsia="zh-CN" w:bidi="ar-SA"/>
        </w:rPr>
        <w:t xml:space="preserve">     </w:t>
      </w:r>
      <w:r>
        <w:rPr>
          <w:rFonts w:hint="eastAsia" w:ascii="仿宋_GB2312" w:hAnsi="仿宋_GB2312" w:eastAsia="仿宋_GB2312" w:cs="仿宋_GB2312"/>
          <w:b w:val="0"/>
          <w:bCs w:val="0"/>
          <w:color w:val="auto"/>
          <w:kern w:val="0"/>
          <w:sz w:val="30"/>
          <w:szCs w:val="30"/>
          <w:lang w:val="en-US" w:eastAsia="zh-CN" w:bidi="ar-SA"/>
        </w:rPr>
        <w:drawing>
          <wp:inline distT="0" distB="0" distL="114300" distR="114300">
            <wp:extent cx="3741420" cy="4526280"/>
            <wp:effectExtent l="0" t="0" r="11430" b="7620"/>
            <wp:docPr id="5" name="图片 5" descr="243d46e4eb4e53578d8d7fc7e48f3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43d46e4eb4e53578d8d7fc7e48f37e"/>
                    <pic:cNvPicPr>
                      <a:picLocks noChangeAspect="1"/>
                    </pic:cNvPicPr>
                  </pic:nvPicPr>
                  <pic:blipFill>
                    <a:blip r:embed="rId11"/>
                    <a:stretch>
                      <a:fillRect/>
                    </a:stretch>
                  </pic:blipFill>
                  <pic:spPr>
                    <a:xfrm>
                      <a:off x="0" y="0"/>
                      <a:ext cx="3741420" cy="4526280"/>
                    </a:xfrm>
                    <a:prstGeom prst="rect">
                      <a:avLst/>
                    </a:prstGeom>
                  </pic:spPr>
                </pic:pic>
              </a:graphicData>
            </a:graphic>
          </wp:inline>
        </w:drawing>
      </w:r>
    </w:p>
    <w:p>
      <w:pPr>
        <w:ind w:firstLine="3150" w:firstLineChars="1500"/>
        <w:rPr>
          <w:rFonts w:hint="eastAsia" w:ascii="仿宋_GB2312" w:hAnsi="仿宋_GB2312" w:eastAsia="仿宋_GB2312" w:cs="仿宋_GB2312"/>
          <w:b w:val="0"/>
          <w:bCs w:val="0"/>
          <w:color w:val="auto"/>
          <w:kern w:val="0"/>
          <w:sz w:val="30"/>
          <w:szCs w:val="30"/>
          <w:lang w:val="en-US" w:eastAsia="zh-CN" w:bidi="ar-SA"/>
        </w:rPr>
      </w:pPr>
      <w:r>
        <w:rPr>
          <w:rFonts w:hint="eastAsia" w:ascii="宋体" w:hAnsi="宋体"/>
          <w:color w:val="auto"/>
          <w:lang w:val="en-US" w:eastAsia="zh-CN"/>
        </w:rPr>
        <w:t>4-</w:t>
      </w:r>
      <w:r>
        <w:rPr>
          <w:rFonts w:hint="eastAsia" w:ascii="宋体" w:hAnsi="宋体" w:eastAsia="宋体"/>
          <w:color w:val="auto"/>
        </w:rPr>
        <w:t>4红崖子园规划范围示意图</w:t>
      </w:r>
    </w:p>
    <w:p>
      <w:pPr>
        <w:pStyle w:val="3"/>
        <w:numPr>
          <w:ilvl w:val="0"/>
          <w:numId w:val="0"/>
        </w:numPr>
        <w:bidi w:val="0"/>
        <w:ind w:firstLine="1606" w:firstLineChars="500"/>
        <w:jc w:val="both"/>
        <w:rPr>
          <w:rFonts w:hint="eastAsia" w:asciiTheme="majorEastAsia" w:hAnsiTheme="majorEastAsia" w:eastAsiaTheme="majorEastAsia" w:cstheme="majorEastAsia"/>
          <w:color w:val="auto"/>
          <w:sz w:val="32"/>
          <w:szCs w:val="32"/>
          <w:lang w:val="en-US" w:eastAsia="zh-CN"/>
        </w:rPr>
      </w:pPr>
    </w:p>
    <w:p>
      <w:pPr>
        <w:pStyle w:val="3"/>
        <w:pageBreakBefore w:val="0"/>
        <w:numPr>
          <w:ilvl w:val="0"/>
          <w:numId w:val="0"/>
        </w:numPr>
        <w:kinsoku/>
        <w:wordWrap/>
        <w:overflowPunct/>
        <w:topLinePunct w:val="0"/>
        <w:autoSpaceDE/>
        <w:autoSpaceDN/>
        <w:bidi w:val="0"/>
        <w:spacing w:line="560" w:lineRule="exact"/>
        <w:ind w:firstLine="1600" w:firstLineChars="500"/>
        <w:jc w:val="both"/>
        <w:textAlignment w:val="auto"/>
        <w:rPr>
          <w:rFonts w:hint="eastAsia" w:ascii="黑体" w:hAnsi="黑体" w:eastAsia="黑体" w:cs="黑体"/>
          <w:b w:val="0"/>
          <w:bCs w:val="0"/>
          <w:sz w:val="32"/>
          <w:szCs w:val="32"/>
          <w:lang w:val="en-US" w:eastAsia="zh-CN"/>
        </w:rPr>
      </w:pPr>
      <w:bookmarkStart w:id="208" w:name="_Toc798"/>
      <w:bookmarkStart w:id="209" w:name="_Toc30353"/>
      <w:bookmarkStart w:id="210" w:name="_Toc661442191"/>
      <w:r>
        <w:rPr>
          <w:rFonts w:hint="eastAsia" w:ascii="黑体" w:hAnsi="黑体" w:eastAsia="黑体" w:cs="黑体"/>
          <w:b w:val="0"/>
          <w:bCs w:val="0"/>
          <w:color w:val="auto"/>
          <w:sz w:val="32"/>
          <w:szCs w:val="32"/>
          <w:lang w:val="en-US" w:eastAsia="zh-CN"/>
        </w:rPr>
        <w:t>第五章  推进工业转型，实施“四大改造”</w:t>
      </w:r>
      <w:bookmarkEnd w:id="208"/>
      <w:bookmarkEnd w:id="209"/>
      <w:bookmarkEnd w:id="210"/>
      <w:r>
        <w:rPr>
          <w:rFonts w:hint="eastAsia" w:ascii="黑体" w:hAnsi="黑体" w:eastAsia="黑体" w:cs="黑体"/>
          <w:b w:val="0"/>
          <w:bCs w:val="0"/>
          <w:color w:val="auto"/>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00" w:firstLineChars="200"/>
        <w:jc w:val="both"/>
        <w:textAlignment w:val="auto"/>
        <w:outlineLvl w:val="9"/>
        <w:rPr>
          <w:rFonts w:hint="eastAsia" w:ascii="仿宋_GB2312" w:hAnsi="仿宋_GB2312" w:eastAsia="仿宋_GB2312" w:cs="仿宋_GB2312"/>
          <w:bCs/>
          <w:color w:val="000000" w:themeColor="text1"/>
          <w:sz w:val="30"/>
          <w:szCs w:val="30"/>
          <w14:textFill>
            <w14:solidFill>
              <w14:schemeClr w14:val="tx1"/>
            </w14:solidFill>
          </w14:textFill>
        </w:rPr>
      </w:pPr>
      <w:r>
        <w:rPr>
          <w:rFonts w:hint="eastAsia" w:ascii="仿宋_GB2312" w:hAnsi="宋体" w:eastAsia="仿宋_GB2312" w:cs="宋体"/>
          <w:b w:val="0"/>
          <w:bCs/>
          <w:color w:val="000000" w:themeColor="text1"/>
          <w:kern w:val="0"/>
          <w:sz w:val="30"/>
          <w:szCs w:val="30"/>
          <w:u w:val="none"/>
          <w:lang w:val="en-US" w:eastAsia="zh-CN"/>
          <w14:textFill>
            <w14:solidFill>
              <w14:schemeClr w14:val="tx1"/>
            </w14:solidFill>
          </w14:textFill>
        </w:rPr>
        <w:t>加快推动发展方式从规模速度为主转向量的增长质的提升、结构调整从增量扩容为主转向调整存量做优增量、增长动力从要素投入为主转向要素拉动创新驱动，实现“</w:t>
      </w:r>
      <w:r>
        <w:rPr>
          <w:rFonts w:hint="eastAsia" w:ascii="仿宋_GB2312" w:hAnsi="仿宋_GB2312" w:eastAsia="仿宋_GB2312" w:cs="仿宋_GB2312"/>
          <w:b w:val="0"/>
          <w:bCs/>
          <w:color w:val="000000" w:themeColor="text1"/>
          <w:kern w:val="0"/>
          <w:sz w:val="30"/>
          <w:szCs w:val="30"/>
          <w:highlight w:val="none"/>
          <w:u w:val="none"/>
          <w:lang w:val="en-US" w:eastAsia="zh-CN"/>
          <w14:textFill>
            <w14:solidFill>
              <w14:schemeClr w14:val="tx1"/>
            </w14:solidFill>
          </w14:textFill>
        </w:rPr>
        <w:t>工业大县</w:t>
      </w:r>
      <w:r>
        <w:rPr>
          <w:rFonts w:hint="eastAsia" w:ascii="仿宋_GB2312" w:hAnsi="宋体" w:eastAsia="仿宋_GB2312" w:cs="宋体"/>
          <w:b w:val="0"/>
          <w:bCs/>
          <w:color w:val="000000" w:themeColor="text1"/>
          <w:kern w:val="0"/>
          <w:sz w:val="30"/>
          <w:szCs w:val="30"/>
          <w:u w:val="none"/>
          <w:lang w:val="en-US" w:eastAsia="zh-CN"/>
          <w14:textFill>
            <w14:solidFill>
              <w14:schemeClr w14:val="tx1"/>
            </w14:solidFill>
          </w14:textFill>
        </w:rPr>
        <w:t>”</w:t>
      </w:r>
      <w:r>
        <w:rPr>
          <w:rFonts w:hint="eastAsia" w:ascii="仿宋_GB2312" w:hAnsi="仿宋_GB2312" w:eastAsia="仿宋_GB2312" w:cs="仿宋_GB2312"/>
          <w:b w:val="0"/>
          <w:bCs/>
          <w:color w:val="000000" w:themeColor="text1"/>
          <w:kern w:val="0"/>
          <w:sz w:val="30"/>
          <w:szCs w:val="30"/>
          <w:highlight w:val="none"/>
          <w:u w:val="none"/>
          <w:lang w:val="en-US" w:eastAsia="zh-CN"/>
          <w14:textFill>
            <w14:solidFill>
              <w14:schemeClr w14:val="tx1"/>
            </w14:solidFill>
          </w14:textFill>
        </w:rPr>
        <w:t>向“工业强县”的转变。</w:t>
      </w:r>
      <w:r>
        <w:rPr>
          <w:rFonts w:hint="eastAsia" w:ascii="仿宋_GB2312" w:hAnsi="仿宋_GB2312" w:eastAsia="仿宋_GB2312" w:cs="仿宋_GB2312"/>
          <w:bCs/>
          <w:color w:val="000000" w:themeColor="text1"/>
          <w:sz w:val="30"/>
          <w:szCs w:val="30"/>
          <w14:textFill>
            <w14:solidFill>
              <w14:schemeClr w14:val="tx1"/>
            </w14:solidFill>
          </w14:textFill>
        </w:rPr>
        <w:t>通过</w:t>
      </w:r>
      <w:r>
        <w:rPr>
          <w:rFonts w:hint="eastAsia" w:ascii="仿宋_GB2312" w:hAnsi="仿宋_GB2312" w:eastAsia="仿宋_GB2312" w:cs="仿宋_GB2312"/>
          <w:bCs/>
          <w:color w:val="000000" w:themeColor="text1"/>
          <w:sz w:val="30"/>
          <w:szCs w:val="30"/>
          <w:lang w:eastAsia="zh-CN"/>
          <w14:textFill>
            <w14:solidFill>
              <w14:schemeClr w14:val="tx1"/>
            </w14:solidFill>
          </w14:textFill>
        </w:rPr>
        <w:t>大力实施</w:t>
      </w:r>
      <w:r>
        <w:rPr>
          <w:rFonts w:hint="eastAsia" w:ascii="仿宋_GB2312" w:hAnsi="仿宋_GB2312" w:eastAsia="仿宋_GB2312" w:cs="仿宋_GB2312"/>
          <w:bCs/>
          <w:color w:val="000000" w:themeColor="text1"/>
          <w:sz w:val="30"/>
          <w:szCs w:val="30"/>
          <w14:textFill>
            <w14:solidFill>
              <w14:schemeClr w14:val="tx1"/>
            </w14:solidFill>
          </w14:textFill>
        </w:rPr>
        <w:t>“四大改造”，切实推进</w:t>
      </w:r>
      <w:r>
        <w:rPr>
          <w:rFonts w:hint="eastAsia" w:ascii="仿宋_GB2312" w:hAnsi="仿宋_GB2312" w:eastAsia="仿宋_GB2312" w:cs="仿宋_GB2312"/>
          <w:bCs/>
          <w:color w:val="000000" w:themeColor="text1"/>
          <w:sz w:val="30"/>
          <w:szCs w:val="30"/>
          <w:lang w:eastAsia="zh-CN"/>
          <w14:textFill>
            <w14:solidFill>
              <w14:schemeClr w14:val="tx1"/>
            </w14:solidFill>
          </w14:textFill>
        </w:rPr>
        <w:t>平罗县</w:t>
      </w:r>
      <w:r>
        <w:rPr>
          <w:rFonts w:hint="eastAsia" w:ascii="仿宋_GB2312" w:hAnsi="仿宋_GB2312" w:eastAsia="仿宋_GB2312" w:cs="仿宋_GB2312"/>
          <w:bCs/>
          <w:color w:val="000000" w:themeColor="text1"/>
          <w:sz w:val="30"/>
          <w:szCs w:val="30"/>
          <w14:textFill>
            <w14:solidFill>
              <w14:schemeClr w14:val="tx1"/>
            </w14:solidFill>
          </w14:textFill>
        </w:rPr>
        <w:t>工业从依靠生产要素投入的增长模式转变为依靠技术进步和提高劳动者素质实现的高质量发展。</w:t>
      </w:r>
    </w:p>
    <w:p>
      <w:pPr>
        <w:pStyle w:val="4"/>
        <w:pageBreakBefore w:val="0"/>
        <w:widowControl w:val="0"/>
        <w:kinsoku/>
        <w:wordWrap/>
        <w:overflowPunct/>
        <w:topLinePunct w:val="0"/>
        <w:autoSpaceDE/>
        <w:autoSpaceDN/>
        <w:bidi w:val="0"/>
        <w:adjustRightInd/>
        <w:snapToGrid/>
        <w:spacing w:line="560" w:lineRule="exact"/>
        <w:ind w:firstLine="602" w:firstLineChars="200"/>
        <w:textAlignment w:val="auto"/>
        <w:rPr>
          <w:rFonts w:hint="eastAsia" w:ascii="楷体" w:hAnsi="楷体" w:eastAsia="楷体" w:cs="楷体"/>
          <w:color w:val="000000" w:themeColor="text1"/>
          <w:sz w:val="30"/>
          <w:szCs w:val="30"/>
          <w:lang w:val="en-US" w:eastAsia="zh-CN"/>
          <w14:textFill>
            <w14:solidFill>
              <w14:schemeClr w14:val="tx1"/>
            </w14:solidFill>
          </w14:textFill>
        </w:rPr>
      </w:pPr>
      <w:bookmarkStart w:id="211" w:name="_Toc528347793"/>
      <w:bookmarkStart w:id="212" w:name="_Toc15527"/>
      <w:bookmarkStart w:id="213" w:name="_Toc11875"/>
      <w:r>
        <w:rPr>
          <w:rFonts w:hint="eastAsia" w:ascii="楷体" w:hAnsi="楷体" w:eastAsia="楷体" w:cs="楷体"/>
          <w:color w:val="000000" w:themeColor="text1"/>
          <w:sz w:val="30"/>
          <w:szCs w:val="30"/>
          <w:lang w:val="en-US" w:eastAsia="zh-CN"/>
          <w14:textFill>
            <w14:solidFill>
              <w14:schemeClr w14:val="tx1"/>
            </w14:solidFill>
          </w14:textFill>
        </w:rPr>
        <w:t>一、总体目标</w:t>
      </w:r>
      <w:bookmarkEnd w:id="211"/>
      <w:bookmarkEnd w:id="212"/>
      <w:bookmarkEnd w:id="213"/>
    </w:p>
    <w:p>
      <w:pPr>
        <w:keepNext w:val="0"/>
        <w:keepLines w:val="0"/>
        <w:pageBreakBefore w:val="0"/>
        <w:widowControl w:val="0"/>
        <w:suppressLineNumbers w:val="0"/>
        <w:kinsoku/>
        <w:wordWrap/>
        <w:overflowPunct/>
        <w:topLinePunct w:val="0"/>
        <w:autoSpaceDE/>
        <w:autoSpaceDN/>
        <w:bidi w:val="0"/>
        <w:adjustRightInd/>
        <w:snapToGrid/>
        <w:spacing w:line="560" w:lineRule="exact"/>
        <w:ind w:left="0" w:leftChars="0" w:right="0" w:rightChars="0" w:firstLine="600" w:firstLineChars="200"/>
        <w:jc w:val="both"/>
        <w:textAlignment w:val="auto"/>
        <w:outlineLvl w:val="9"/>
        <w:rPr>
          <w:rFonts w:hint="eastAsia" w:ascii="仿宋_GB2312" w:hAnsi="仿宋_GB2312" w:eastAsia="仿宋_GB2312" w:cs="仿宋_GB2312"/>
          <w:b/>
          <w:bCs/>
          <w:color w:val="000000" w:themeColor="text1"/>
          <w:sz w:val="30"/>
          <w:szCs w:val="30"/>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0"/>
          <w:sz w:val="30"/>
          <w:szCs w:val="30"/>
          <w:highlight w:val="none"/>
          <w:u w:val="none"/>
          <w:lang w:val="en-US" w:eastAsia="zh-CN" w:bidi="ar"/>
          <w14:textFill>
            <w14:solidFill>
              <w14:schemeClr w14:val="tx1"/>
            </w14:solidFill>
          </w14:textFill>
        </w:rPr>
        <w:t>在提升竞争力上下功夫，以创建自治区高质量发展示范园区为抓手，力争把平罗工业园区打造成千亿级园区，带动全县工业总产值突破千亿元。</w:t>
      </w:r>
      <w:r>
        <w:rPr>
          <w:rFonts w:hint="eastAsia" w:ascii="仿宋_GB2312" w:hAnsi="仿宋_GB2312" w:eastAsia="仿宋_GB2312" w:cs="仿宋_GB2312"/>
          <w:b w:val="0"/>
          <w:bCs w:val="0"/>
          <w:i w:val="0"/>
          <w:iCs w:val="0"/>
          <w:color w:val="000000" w:themeColor="text1"/>
          <w:kern w:val="2"/>
          <w:sz w:val="30"/>
          <w:szCs w:val="30"/>
          <w:highlight w:val="none"/>
          <w:lang w:val="en-US" w:eastAsia="zh-CN" w:bidi="ar-SA"/>
          <w14:textFill>
            <w14:solidFill>
              <w14:schemeClr w14:val="tx1"/>
            </w14:solidFill>
          </w14:textFill>
        </w:rPr>
        <w:t>到2023年，</w:t>
      </w:r>
      <w:r>
        <w:rPr>
          <w:rFonts w:hint="eastAsia" w:ascii="仿宋_GB2312" w:hAnsi="仿宋_GB2312" w:eastAsia="仿宋_GB2312" w:cs="仿宋_GB2312"/>
          <w:b w:val="0"/>
          <w:bCs w:val="0"/>
          <w:i w:val="0"/>
          <w:iCs w:val="0"/>
          <w:color w:val="000000" w:themeColor="text1"/>
          <w:kern w:val="2"/>
          <w:sz w:val="30"/>
          <w:szCs w:val="30"/>
          <w:lang w:val="en-US" w:eastAsia="zh-CN" w:bidi="ar-SA"/>
          <w14:textFill>
            <w14:solidFill>
              <w14:schemeClr w14:val="tx1"/>
            </w14:solidFill>
          </w14:textFill>
        </w:rPr>
        <w:t xml:space="preserve">全县工业结构逐步优化，工业生产智能化、绿色化水平显著提升，创新能力明显增强，制约工业发展的瓶颈问题得到有效解决，高端化、绿色化、智能化、融合化协调推进，新型产业体系基本形成，转型发展取得突出成效。  </w:t>
      </w:r>
    </w:p>
    <w:p>
      <w:pPr>
        <w:keepNext w:val="0"/>
        <w:keepLines w:val="0"/>
        <w:pageBreakBefore w:val="0"/>
        <w:widowControl w:val="0"/>
        <w:kinsoku/>
        <w:wordWrap/>
        <w:overflowPunct/>
        <w:topLinePunct w:val="0"/>
        <w:autoSpaceDE/>
        <w:autoSpaceDN/>
        <w:bidi w:val="0"/>
        <w:adjustRightInd/>
        <w:snapToGrid w:val="0"/>
        <w:spacing w:line="560" w:lineRule="exact"/>
        <w:ind w:left="0" w:leftChars="0" w:right="0" w:rightChars="0" w:firstLine="602" w:firstLineChars="200"/>
        <w:jc w:val="both"/>
        <w:textAlignment w:val="auto"/>
        <w:outlineLvl w:val="9"/>
        <w:rPr>
          <w:rFonts w:hint="eastAsia" w:ascii="仿宋_GB2312" w:hAnsi="仿宋_GB2312" w:eastAsia="仿宋_GB2312" w:cs="仿宋_GB2312"/>
          <w:color w:val="000000" w:themeColor="text1"/>
          <w:sz w:val="30"/>
          <w:szCs w:val="30"/>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sz w:val="30"/>
          <w:szCs w:val="30"/>
          <w:lang w:val="en-US" w:eastAsia="zh-CN"/>
          <w14:textFill>
            <w14:solidFill>
              <w14:schemeClr w14:val="tx1"/>
            </w14:solidFill>
          </w14:textFill>
        </w:rPr>
        <w:t>结构改造方面：</w:t>
      </w:r>
      <w:r>
        <w:rPr>
          <w:rFonts w:hint="eastAsia" w:ascii="仿宋_GB2312" w:hAnsi="仿宋_GB2312" w:eastAsia="仿宋_GB2312" w:cs="仿宋_GB2312"/>
          <w:b w:val="0"/>
          <w:bCs w:val="0"/>
          <w:color w:val="000000" w:themeColor="text1"/>
          <w:sz w:val="30"/>
          <w:szCs w:val="30"/>
          <w:lang w:val="en-US" w:eastAsia="zh-CN"/>
          <w14:textFill>
            <w14:solidFill>
              <w14:schemeClr w14:val="tx1"/>
            </w14:solidFill>
          </w14:textFill>
        </w:rPr>
        <w:t>制造业占工业增加值比重达到70%左右，规模以上战略性新兴产业占工业增加值比重提高5个百分点；产能结构实现动态平衡，淘汰落后和化解过剩产能取得突出成效，落后产能完全退出，“僵尸企业”动态出清；消费品工业“三品建设”取得积极进展，制造业供给产品的品种丰富度、品质满意度、品牌认可度有效提升。</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02" w:firstLineChars="200"/>
        <w:jc w:val="both"/>
        <w:textAlignment w:val="auto"/>
        <w:outlineLvl w:val="9"/>
        <w:rPr>
          <w:rFonts w:hint="eastAsia" w:ascii="仿宋_GB2312" w:hAnsi="仿宋_GB2312" w:eastAsia="仿宋_GB2312" w:cs="仿宋_GB2312"/>
          <w:b w:val="0"/>
          <w:bCs w:val="0"/>
          <w:i w:val="0"/>
          <w:iCs w:val="0"/>
          <w:color w:val="auto"/>
          <w:kern w:val="2"/>
          <w:sz w:val="30"/>
          <w:szCs w:val="30"/>
          <w:lang w:val="en-US" w:eastAsia="zh-CN" w:bidi="ar-SA"/>
        </w:rPr>
      </w:pPr>
      <w:r>
        <w:rPr>
          <w:rFonts w:hint="eastAsia" w:ascii="仿宋_GB2312" w:hAnsi="仿宋_GB2312" w:eastAsia="仿宋_GB2312" w:cs="仿宋_GB2312"/>
          <w:b/>
          <w:bCs/>
          <w:i w:val="0"/>
          <w:iCs w:val="0"/>
          <w:color w:val="auto"/>
          <w:kern w:val="2"/>
          <w:sz w:val="30"/>
          <w:szCs w:val="30"/>
          <w:lang w:val="en-US" w:eastAsia="zh-CN" w:bidi="ar-SA"/>
        </w:rPr>
        <w:t>绿色改造方面：</w:t>
      </w:r>
      <w:r>
        <w:rPr>
          <w:rFonts w:hint="eastAsia" w:ascii="仿宋_GB2312" w:hAnsi="仿宋_GB2312" w:eastAsia="仿宋_GB2312" w:cs="仿宋_GB2312"/>
          <w:b w:val="0"/>
          <w:bCs w:val="0"/>
          <w:i w:val="0"/>
          <w:iCs w:val="0"/>
          <w:color w:val="auto"/>
          <w:kern w:val="2"/>
          <w:sz w:val="30"/>
          <w:szCs w:val="30"/>
          <w:lang w:val="en-US" w:eastAsia="zh-CN" w:bidi="ar-SA"/>
        </w:rPr>
        <w:t>绿色制造水平整体提升，资源能源使用效率明显提高，主要污染物排放总量得到有效控制。</w:t>
      </w:r>
      <w:r>
        <w:rPr>
          <w:rFonts w:hint="eastAsia" w:ascii="仿宋_GB2312" w:hAnsi="仿宋_GB2312" w:eastAsia="仿宋_GB2312" w:cs="仿宋_GB2312"/>
          <w:color w:val="auto"/>
          <w:sz w:val="30"/>
          <w:szCs w:val="30"/>
          <w:lang w:val="en-US" w:eastAsia="zh-CN"/>
        </w:rPr>
        <w:t>规模以上企业单位工业增加值能耗年均</w:t>
      </w:r>
      <w:r>
        <w:rPr>
          <w:rFonts w:hint="eastAsia" w:ascii="仿宋_GB2312" w:hAnsi="仿宋_GB2312" w:eastAsia="仿宋_GB2312" w:cs="仿宋_GB2312"/>
          <w:b w:val="0"/>
          <w:bCs w:val="0"/>
          <w:i w:val="0"/>
          <w:iCs w:val="0"/>
          <w:color w:val="auto"/>
          <w:kern w:val="2"/>
          <w:sz w:val="30"/>
          <w:szCs w:val="30"/>
          <w:lang w:val="en-US" w:eastAsia="zh-CN" w:bidi="ar-SA"/>
        </w:rPr>
        <w:t xml:space="preserve">下降3%以上, </w:t>
      </w:r>
      <w:r>
        <w:rPr>
          <w:rFonts w:hint="eastAsia" w:ascii="仿宋_GB2312" w:hAnsi="仿宋_GB2312" w:eastAsia="仿宋_GB2312" w:cs="仿宋_GB2312"/>
          <w:color w:val="auto"/>
          <w:sz w:val="30"/>
          <w:szCs w:val="30"/>
          <w:lang w:val="en-US" w:eastAsia="zh-CN"/>
        </w:rPr>
        <w:t>单位工业增加值用水量年均下降2%以上，一般工业固体废物综合利用率达到65%。</w:t>
      </w:r>
    </w:p>
    <w:p>
      <w:pPr>
        <w:keepNext w:val="0"/>
        <w:keepLines w:val="0"/>
        <w:pageBreakBefore w:val="0"/>
        <w:widowControl w:val="0"/>
        <w:kinsoku/>
        <w:wordWrap/>
        <w:overflowPunct/>
        <w:topLinePunct w:val="0"/>
        <w:autoSpaceDE/>
        <w:autoSpaceDN/>
        <w:bidi w:val="0"/>
        <w:adjustRightInd/>
        <w:snapToGrid w:val="0"/>
        <w:spacing w:line="560" w:lineRule="exact"/>
        <w:ind w:left="0" w:leftChars="0" w:right="0" w:rightChars="0" w:firstLine="602" w:firstLineChars="200"/>
        <w:jc w:val="both"/>
        <w:textAlignment w:val="auto"/>
        <w:outlineLvl w:val="9"/>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b/>
          <w:bCs/>
          <w:color w:val="auto"/>
          <w:sz w:val="30"/>
          <w:szCs w:val="30"/>
          <w:lang w:val="en-US" w:eastAsia="zh-CN"/>
        </w:rPr>
        <w:t>技术改造方面：</w:t>
      </w:r>
      <w:r>
        <w:rPr>
          <w:rFonts w:hint="eastAsia" w:ascii="仿宋_GB2312" w:hAnsi="仿宋_GB2312" w:eastAsia="仿宋_GB2312" w:cs="仿宋_GB2312"/>
          <w:color w:val="auto"/>
          <w:sz w:val="30"/>
          <w:szCs w:val="30"/>
          <w:lang w:val="en-US" w:eastAsia="zh-CN"/>
        </w:rPr>
        <w:t>工业生产工艺技术水平明显提升，产业创新积极活跃，技术改造向更宽领域、更深程度、更高层次迈进。工业技术改造投资年均增长10%以上，规模以上工业企业中有研发活动的企业占比达到35%以上。</w:t>
      </w:r>
    </w:p>
    <w:p>
      <w:pPr>
        <w:keepNext w:val="0"/>
        <w:keepLines w:val="0"/>
        <w:pageBreakBefore w:val="0"/>
        <w:widowControl w:val="0"/>
        <w:kinsoku/>
        <w:wordWrap/>
        <w:overflowPunct/>
        <w:topLinePunct w:val="0"/>
        <w:autoSpaceDE/>
        <w:autoSpaceDN/>
        <w:bidi w:val="0"/>
        <w:adjustRightInd/>
        <w:snapToGrid/>
        <w:spacing w:line="560" w:lineRule="exact"/>
        <w:ind w:right="0" w:rightChars="0" w:firstLine="602" w:firstLineChars="200"/>
        <w:jc w:val="both"/>
        <w:textAlignment w:val="auto"/>
        <w:rPr>
          <w:rFonts w:hint="eastAsia" w:ascii="仿宋_GB2312" w:hAnsi="仿宋_GB2312" w:eastAsia="仿宋_GB2312" w:cs="仿宋_GB2312"/>
          <w:b w:val="0"/>
          <w:bCs w:val="0"/>
          <w:i w:val="0"/>
          <w:iCs w:val="0"/>
          <w:color w:val="auto"/>
          <w:kern w:val="2"/>
          <w:sz w:val="30"/>
          <w:szCs w:val="30"/>
          <w:lang w:val="en-US" w:eastAsia="zh-CN" w:bidi="ar-SA"/>
        </w:rPr>
      </w:pPr>
      <w:r>
        <w:rPr>
          <w:rFonts w:hint="eastAsia" w:ascii="仿宋_GB2312" w:hAnsi="仿宋_GB2312" w:eastAsia="仿宋_GB2312" w:cs="仿宋_GB2312"/>
          <w:b/>
          <w:bCs/>
          <w:i w:val="0"/>
          <w:iCs w:val="0"/>
          <w:color w:val="auto"/>
          <w:kern w:val="2"/>
          <w:sz w:val="30"/>
          <w:szCs w:val="30"/>
          <w:lang w:val="en-US" w:eastAsia="zh-CN" w:bidi="ar-SA"/>
        </w:rPr>
        <w:t>智能改造方面：</w:t>
      </w:r>
      <w:r>
        <w:rPr>
          <w:rFonts w:hint="eastAsia" w:ascii="仿宋_GB2312" w:hAnsi="仿宋_GB2312" w:eastAsia="仿宋_GB2312" w:cs="仿宋_GB2312"/>
          <w:b w:val="0"/>
          <w:bCs w:val="0"/>
          <w:i w:val="0"/>
          <w:iCs w:val="0"/>
          <w:color w:val="auto"/>
          <w:kern w:val="2"/>
          <w:sz w:val="30"/>
          <w:szCs w:val="30"/>
          <w:lang w:val="en-US" w:eastAsia="zh-CN" w:bidi="ar-SA"/>
        </w:rPr>
        <w:t>产业数字化转型取得有效进展，工业互联网得到广泛应用。规模以上企业数字化研发设计工具普及率达到30%以上，关键工序数控化率达到60%以上，两化融合水平达到40%以上。</w:t>
      </w:r>
    </w:p>
    <w:p>
      <w:pPr>
        <w:keepNext w:val="0"/>
        <w:keepLines w:val="0"/>
        <w:pageBreakBefore w:val="0"/>
        <w:widowControl w:val="0"/>
        <w:kinsoku/>
        <w:wordWrap/>
        <w:overflowPunct/>
        <w:topLinePunct w:val="0"/>
        <w:autoSpaceDE/>
        <w:autoSpaceDN/>
        <w:bidi w:val="0"/>
        <w:adjustRightInd/>
        <w:snapToGrid/>
        <w:spacing w:line="560" w:lineRule="exact"/>
        <w:ind w:right="0" w:rightChars="0" w:firstLine="643" w:firstLineChars="200"/>
        <w:jc w:val="both"/>
        <w:textAlignment w:val="auto"/>
        <w:rPr>
          <w:rFonts w:hint="eastAsia" w:ascii="楷体" w:hAnsi="楷体" w:eastAsia="楷体" w:cs="楷体"/>
          <w:b w:val="0"/>
          <w:bCs w:val="0"/>
          <w:i w:val="0"/>
          <w:iCs w:val="0"/>
          <w:color w:val="auto"/>
          <w:sz w:val="32"/>
          <w:szCs w:val="32"/>
          <w:lang w:val="en-US" w:eastAsia="zh-CN"/>
        </w:rPr>
      </w:pPr>
      <w:bookmarkStart w:id="214" w:name="_Toc14971"/>
      <w:bookmarkStart w:id="215" w:name="_Toc875241320"/>
      <w:bookmarkStart w:id="216" w:name="_Toc29247"/>
      <w:r>
        <w:rPr>
          <w:rStyle w:val="27"/>
          <w:rFonts w:hint="eastAsia" w:ascii="楷体" w:hAnsi="楷体" w:eastAsia="楷体" w:cs="楷体"/>
          <w:color w:val="auto"/>
          <w:lang w:eastAsia="zh-CN"/>
        </w:rPr>
        <w:t>二、大力实施</w:t>
      </w:r>
      <w:r>
        <w:rPr>
          <w:rStyle w:val="27"/>
          <w:rFonts w:hint="eastAsia" w:ascii="楷体" w:hAnsi="楷体" w:eastAsia="楷体" w:cs="楷体"/>
          <w:color w:val="auto"/>
        </w:rPr>
        <w:t>“四大改造”，提升产业基础能力</w:t>
      </w:r>
      <w:bookmarkEnd w:id="214"/>
      <w:bookmarkEnd w:id="215"/>
      <w:bookmarkEnd w:id="216"/>
    </w:p>
    <w:p>
      <w:pPr>
        <w:pStyle w:val="5"/>
        <w:pageBreakBefore w:val="0"/>
        <w:kinsoku/>
        <w:wordWrap/>
        <w:overflowPunct/>
        <w:topLinePunct w:val="0"/>
        <w:autoSpaceDE/>
        <w:autoSpaceDN/>
        <w:bidi w:val="0"/>
        <w:spacing w:line="560" w:lineRule="exact"/>
        <w:ind w:firstLine="643" w:firstLineChars="200"/>
        <w:textAlignment w:val="auto"/>
        <w:rPr>
          <w:rFonts w:hint="eastAsia" w:ascii="仿宋" w:hAnsi="仿宋" w:eastAsia="仿宋" w:cs="仿宋"/>
          <w:color w:val="auto"/>
          <w:sz w:val="32"/>
          <w:szCs w:val="32"/>
          <w:lang w:val="en-US" w:eastAsia="zh-CN"/>
        </w:rPr>
      </w:pPr>
      <w:bookmarkStart w:id="217" w:name="_Toc26709"/>
      <w:bookmarkStart w:id="218" w:name="_Toc29240"/>
      <w:bookmarkStart w:id="219" w:name="_Toc1151512208"/>
      <w:r>
        <w:rPr>
          <w:rFonts w:hint="eastAsia" w:ascii="仿宋" w:hAnsi="仿宋" w:eastAsia="仿宋" w:cs="仿宋"/>
          <w:color w:val="auto"/>
          <w:sz w:val="32"/>
          <w:szCs w:val="32"/>
          <w:lang w:val="en-US" w:eastAsia="zh-CN"/>
        </w:rPr>
        <w:t>(一)结构改造</w:t>
      </w:r>
      <w:bookmarkEnd w:id="217"/>
      <w:bookmarkEnd w:id="218"/>
      <w:bookmarkEnd w:id="219"/>
    </w:p>
    <w:p>
      <w:pPr>
        <w:keepNext w:val="0"/>
        <w:keepLines w:val="0"/>
        <w:pageBreakBefore w:val="0"/>
        <w:widowControl w:val="0"/>
        <w:kinsoku/>
        <w:wordWrap/>
        <w:overflowPunct/>
        <w:topLinePunct w:val="0"/>
        <w:autoSpaceDE/>
        <w:autoSpaceDN/>
        <w:bidi w:val="0"/>
        <w:adjustRightInd w:val="0"/>
        <w:snapToGrid w:val="0"/>
        <w:spacing w:line="560" w:lineRule="exact"/>
        <w:ind w:firstLine="602" w:firstLineChars="200"/>
        <w:textAlignment w:val="auto"/>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bCs/>
          <w:i w:val="0"/>
          <w:iCs w:val="0"/>
          <w:color w:val="auto"/>
          <w:sz w:val="30"/>
          <w:szCs w:val="30"/>
          <w:lang w:val="en-US" w:eastAsia="zh-CN"/>
        </w:rPr>
        <w:t>调新产业结构。</w:t>
      </w:r>
      <w:r>
        <w:rPr>
          <w:rFonts w:hint="eastAsia" w:ascii="仿宋_GB2312" w:hAnsi="仿宋_GB2312" w:eastAsia="仿宋_GB2312" w:cs="仿宋_GB2312"/>
          <w:color w:val="auto"/>
          <w:sz w:val="30"/>
          <w:szCs w:val="30"/>
          <w:lang w:val="en-US" w:eastAsia="zh-CN"/>
        </w:rPr>
        <w:t>大力实施延链补链建链壮链工程，</w:t>
      </w:r>
      <w:r>
        <w:rPr>
          <w:rFonts w:hint="eastAsia" w:ascii="仿宋_GB2312" w:hAnsi="仿宋_GB2312" w:eastAsia="仿宋_GB2312" w:cs="仿宋_GB2312"/>
          <w:color w:val="auto"/>
          <w:sz w:val="30"/>
          <w:szCs w:val="30"/>
          <w:lang w:eastAsia="zh-CN"/>
        </w:rPr>
        <w:t>抓好红崖子片区绿色化学品</w:t>
      </w:r>
      <w:r>
        <w:rPr>
          <w:rFonts w:hint="eastAsia" w:ascii="仿宋_GB2312" w:hAnsi="仿宋_GB2312" w:eastAsia="仿宋_GB2312" w:cs="仿宋_GB2312"/>
          <w:color w:val="auto"/>
          <w:sz w:val="30"/>
          <w:szCs w:val="30"/>
        </w:rPr>
        <w:t>、</w:t>
      </w:r>
      <w:r>
        <w:rPr>
          <w:rFonts w:hint="eastAsia" w:ascii="仿宋_GB2312" w:hAnsi="仿宋_GB2312" w:eastAsia="仿宋_GB2312" w:cs="仿宋_GB2312"/>
          <w:color w:val="auto"/>
          <w:sz w:val="30"/>
          <w:szCs w:val="30"/>
          <w:lang w:eastAsia="zh-CN"/>
        </w:rPr>
        <w:t>崇岗片区煤基碳材、太西片区固废综合利用</w:t>
      </w:r>
      <w:r>
        <w:rPr>
          <w:rFonts w:hint="eastAsia" w:ascii="仿宋_GB2312" w:hAnsi="仿宋_GB2312" w:eastAsia="仿宋_GB2312" w:cs="仿宋_GB2312"/>
          <w:color w:val="auto"/>
          <w:sz w:val="30"/>
          <w:szCs w:val="30"/>
        </w:rPr>
        <w:t>等专业园建设，</w:t>
      </w:r>
      <w:r>
        <w:rPr>
          <w:rFonts w:hint="eastAsia" w:ascii="仿宋_GB2312" w:hAnsi="仿宋_GB2312" w:eastAsia="仿宋_GB2312" w:cs="仿宋_GB2312"/>
          <w:color w:val="auto"/>
          <w:sz w:val="30"/>
          <w:szCs w:val="30"/>
          <w:lang w:val="en-US" w:eastAsia="zh-CN"/>
        </w:rPr>
        <w:t>规范企业有序发展。重点围绕绿色氰胺、新材料、先进装备制造、电子信息、绿色食品产业，鼓励支持企业应用先进的设备、工艺、技术及最严格的环保和安全生产标准改造提升。</w:t>
      </w:r>
      <w:r>
        <w:rPr>
          <w:rFonts w:hint="eastAsia" w:ascii="仿宋_GB2312" w:hAnsi="仿宋_GB2312" w:eastAsia="仿宋_GB2312" w:cs="仿宋_GB2312"/>
          <w:b w:val="0"/>
          <w:bCs w:val="0"/>
          <w:color w:val="auto"/>
          <w:sz w:val="30"/>
          <w:szCs w:val="30"/>
          <w:lang w:val="en-US" w:eastAsia="zh-CN"/>
        </w:rPr>
        <w:t>大力发展接续替代产业，扶持发展生物医药、轻工食品、节能环保等产业，推动上下游中小企业协同发展，形成有效增量。</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02" w:firstLineChars="200"/>
        <w:jc w:val="both"/>
        <w:textAlignment w:val="auto"/>
        <w:outlineLvl w:val="9"/>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b/>
          <w:bCs/>
          <w:color w:val="auto"/>
          <w:sz w:val="30"/>
          <w:szCs w:val="30"/>
          <w:lang w:val="en-US" w:eastAsia="zh-CN"/>
        </w:rPr>
        <w:t>调优产能结构。</w:t>
      </w:r>
      <w:r>
        <w:rPr>
          <w:rFonts w:hint="eastAsia" w:ascii="仿宋_GB2312" w:hAnsi="仿宋_GB2312" w:eastAsia="仿宋_GB2312" w:cs="仿宋_GB2312"/>
          <w:color w:val="auto"/>
          <w:sz w:val="30"/>
          <w:szCs w:val="30"/>
          <w:lang w:val="en-US" w:eastAsia="zh-CN"/>
        </w:rPr>
        <w:t>通过</w:t>
      </w:r>
      <w:r>
        <w:rPr>
          <w:rFonts w:hint="eastAsia" w:ascii="仿宋_GB2312" w:hAnsi="仿宋_GB2312" w:eastAsia="仿宋_GB2312" w:cs="仿宋_GB2312"/>
          <w:color w:val="auto"/>
          <w:sz w:val="30"/>
          <w:szCs w:val="30"/>
        </w:rPr>
        <w:t>综合运用质量、环保、能耗、安全等法规标准，</w:t>
      </w:r>
      <w:r>
        <w:rPr>
          <w:rFonts w:hint="eastAsia" w:ascii="仿宋_GB2312" w:hAnsi="仿宋_GB2312" w:eastAsia="仿宋_GB2312" w:cs="仿宋_GB2312"/>
          <w:color w:val="auto"/>
          <w:sz w:val="30"/>
          <w:szCs w:val="30"/>
          <w:lang w:eastAsia="zh-CN"/>
        </w:rPr>
        <w:t>加大奖补等措施，压减消耗过多资源、占用大量要素、污染生态环境的低端落后产能，严格执行国家产能置换政策，支持企业联合重组、上大压小，</w:t>
      </w:r>
      <w:r>
        <w:rPr>
          <w:rFonts w:hint="eastAsia" w:ascii="仿宋_GB2312" w:hAnsi="仿宋_GB2312" w:eastAsia="仿宋_GB2312" w:cs="仿宋_GB2312"/>
          <w:color w:val="auto"/>
          <w:sz w:val="30"/>
          <w:szCs w:val="30"/>
        </w:rPr>
        <w:t>鼓励</w:t>
      </w:r>
      <w:r>
        <w:rPr>
          <w:rFonts w:hint="eastAsia" w:ascii="仿宋_GB2312" w:hAnsi="仿宋_GB2312" w:eastAsia="仿宋_GB2312" w:cs="仿宋_GB2312"/>
          <w:color w:val="auto"/>
          <w:sz w:val="30"/>
          <w:szCs w:val="30"/>
          <w:lang w:eastAsia="zh-CN"/>
        </w:rPr>
        <w:t>电石、多元合</w:t>
      </w:r>
      <w:r>
        <w:rPr>
          <w:rFonts w:hint="eastAsia" w:ascii="仿宋_GB2312" w:hAnsi="仿宋_GB2312" w:eastAsia="仿宋_GB2312" w:cs="仿宋_GB2312"/>
          <w:color w:val="auto"/>
          <w:sz w:val="30"/>
          <w:szCs w:val="30"/>
        </w:rPr>
        <w:t>金、</w:t>
      </w:r>
      <w:r>
        <w:rPr>
          <w:rFonts w:hint="eastAsia" w:ascii="仿宋_GB2312" w:hAnsi="仿宋_GB2312" w:eastAsia="仿宋_GB2312" w:cs="仿宋_GB2312"/>
          <w:color w:val="auto"/>
          <w:sz w:val="30"/>
          <w:szCs w:val="30"/>
          <w:lang w:eastAsia="zh-CN"/>
        </w:rPr>
        <w:t>碳素、活性炭</w:t>
      </w:r>
      <w:r>
        <w:rPr>
          <w:rFonts w:hint="eastAsia" w:ascii="仿宋_GB2312" w:hAnsi="仿宋_GB2312" w:eastAsia="仿宋_GB2312" w:cs="仿宋_GB2312"/>
          <w:color w:val="auto"/>
          <w:sz w:val="30"/>
          <w:szCs w:val="30"/>
        </w:rPr>
        <w:t>等行业低端低效产能主动退出。</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02" w:firstLineChars="200"/>
        <w:jc w:val="both"/>
        <w:textAlignment w:val="auto"/>
        <w:outlineLvl w:val="9"/>
        <w:rPr>
          <w:rFonts w:hint="eastAsia" w:ascii="仿宋_GB2312" w:hAnsi="仿宋_GB2312" w:eastAsia="仿宋_GB2312" w:cs="仿宋_GB2312"/>
          <w:b w:val="0"/>
          <w:bCs w:val="0"/>
          <w:i w:val="0"/>
          <w:iCs w:val="0"/>
          <w:color w:val="auto"/>
          <w:sz w:val="30"/>
          <w:szCs w:val="30"/>
          <w:lang w:val="en-US" w:eastAsia="zh-CN"/>
        </w:rPr>
      </w:pPr>
      <w:r>
        <w:rPr>
          <w:rFonts w:hint="eastAsia" w:ascii="仿宋_GB2312" w:hAnsi="仿宋_GB2312" w:eastAsia="仿宋_GB2312" w:cs="仿宋_GB2312"/>
          <w:b/>
          <w:bCs/>
          <w:color w:val="auto"/>
          <w:sz w:val="30"/>
          <w:szCs w:val="30"/>
          <w:lang w:val="en-US" w:eastAsia="zh-CN"/>
        </w:rPr>
        <w:t>调精产品结构。</w:t>
      </w:r>
      <w:r>
        <w:rPr>
          <w:rFonts w:hint="eastAsia" w:ascii="仿宋_GB2312" w:hAnsi="仿宋_GB2312" w:eastAsia="仿宋_GB2312" w:cs="仿宋_GB2312"/>
          <w:color w:val="auto"/>
          <w:sz w:val="30"/>
          <w:szCs w:val="30"/>
          <w:lang w:val="en-US" w:eastAsia="zh-CN"/>
        </w:rPr>
        <w:t>引导企业长期专注于细分产品市场深耕细作，持续创新生产技术和工艺水平，走”专精特新”发展之路，</w:t>
      </w:r>
      <w:r>
        <w:rPr>
          <w:rFonts w:hint="eastAsia" w:ascii="仿宋_GB2312" w:hAnsi="仿宋_GB2312" w:eastAsia="仿宋_GB2312" w:cs="仿宋_GB2312"/>
          <w:color w:val="auto"/>
          <w:sz w:val="30"/>
          <w:szCs w:val="30"/>
        </w:rPr>
        <w:t>在装备制造、</w:t>
      </w:r>
      <w:r>
        <w:rPr>
          <w:rFonts w:hint="eastAsia" w:ascii="仿宋_GB2312" w:hAnsi="仿宋_GB2312" w:eastAsia="仿宋_GB2312" w:cs="仿宋_GB2312"/>
          <w:color w:val="auto"/>
          <w:sz w:val="30"/>
          <w:szCs w:val="30"/>
          <w:lang w:eastAsia="zh-CN"/>
        </w:rPr>
        <w:t>多元合金、绿色氰胺、精细化工</w:t>
      </w:r>
      <w:r>
        <w:rPr>
          <w:rFonts w:hint="eastAsia" w:ascii="仿宋_GB2312" w:hAnsi="仿宋_GB2312" w:eastAsia="仿宋_GB2312" w:cs="仿宋_GB2312"/>
          <w:color w:val="auto"/>
          <w:sz w:val="30"/>
          <w:szCs w:val="30"/>
        </w:rPr>
        <w:t>等领域争创国家级制造业单项冠军企业（产品）</w:t>
      </w:r>
      <w:r>
        <w:rPr>
          <w:rFonts w:hint="eastAsia" w:ascii="仿宋_GB2312" w:hAnsi="仿宋_GB2312" w:eastAsia="仿宋_GB2312" w:cs="仿宋_GB2312"/>
          <w:color w:val="auto"/>
          <w:sz w:val="30"/>
          <w:szCs w:val="30"/>
          <w:lang w:eastAsia="zh-CN"/>
        </w:rPr>
        <w:t>。创建“三品”示范企业，在轻工、食品、医药等消费品工业大力实施增品种、提品质、创品牌专项行动，鼓励企业制定品牌发展战略，增强品牌意识，夯实品牌发展基础，提升产品附加值和软实力。</w:t>
      </w:r>
    </w:p>
    <w:p>
      <w:pPr>
        <w:pStyle w:val="5"/>
        <w:pageBreakBefore w:val="0"/>
        <w:widowControl w:val="0"/>
        <w:kinsoku/>
        <w:wordWrap/>
        <w:overflowPunct/>
        <w:topLinePunct w:val="0"/>
        <w:autoSpaceDE/>
        <w:autoSpaceDN/>
        <w:bidi w:val="0"/>
        <w:spacing w:line="560" w:lineRule="exact"/>
        <w:ind w:firstLine="643" w:firstLineChars="200"/>
        <w:textAlignment w:val="auto"/>
        <w:rPr>
          <w:rFonts w:hint="eastAsia" w:ascii="仿宋" w:hAnsi="仿宋" w:eastAsia="仿宋" w:cs="仿宋"/>
          <w:color w:val="auto"/>
          <w:sz w:val="32"/>
          <w:szCs w:val="32"/>
          <w:lang w:val="en-US" w:eastAsia="zh-CN"/>
        </w:rPr>
      </w:pPr>
      <w:bookmarkStart w:id="220" w:name="_Toc4831"/>
      <w:bookmarkStart w:id="221" w:name="_Toc18727"/>
      <w:bookmarkStart w:id="222" w:name="_Toc1980753970"/>
      <w:r>
        <w:rPr>
          <w:rFonts w:hint="eastAsia" w:ascii="仿宋" w:hAnsi="仿宋" w:eastAsia="仿宋" w:cs="仿宋"/>
          <w:color w:val="auto"/>
          <w:sz w:val="32"/>
          <w:szCs w:val="32"/>
          <w:lang w:val="en-US" w:eastAsia="zh-CN"/>
        </w:rPr>
        <w:t>(二)绿色改造</w:t>
      </w:r>
      <w:bookmarkEnd w:id="220"/>
      <w:bookmarkEnd w:id="221"/>
      <w:bookmarkEnd w:id="222"/>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02" w:firstLineChars="200"/>
        <w:jc w:val="both"/>
        <w:textAlignment w:val="auto"/>
        <w:outlineLvl w:val="9"/>
        <w:rPr>
          <w:rFonts w:hint="eastAsia" w:ascii="仿宋_GB2312" w:hAnsi="仿宋_GB2312" w:eastAsia="仿宋_GB2312" w:cs="仿宋_GB2312"/>
          <w:b w:val="0"/>
          <w:bCs w:val="0"/>
          <w:i w:val="0"/>
          <w:iCs w:val="0"/>
          <w:caps w:val="0"/>
          <w:color w:val="auto"/>
          <w:spacing w:val="0"/>
          <w:sz w:val="30"/>
          <w:szCs w:val="30"/>
          <w:shd w:val="clear" w:color="auto" w:fill="auto"/>
          <w:lang w:val="en-US" w:eastAsia="zh-CN"/>
        </w:rPr>
      </w:pPr>
      <w:r>
        <w:rPr>
          <w:rFonts w:hint="eastAsia" w:ascii="仿宋_GB2312" w:hAnsi="仿宋_GB2312" w:eastAsia="仿宋_GB2312" w:cs="仿宋_GB2312"/>
          <w:b/>
          <w:bCs/>
          <w:i w:val="0"/>
          <w:iCs w:val="0"/>
          <w:color w:val="auto"/>
          <w:sz w:val="30"/>
          <w:szCs w:val="30"/>
          <w:lang w:val="en-US" w:eastAsia="zh-CN"/>
        </w:rPr>
        <w:t>提升工业能效水效。</w:t>
      </w:r>
      <w:r>
        <w:rPr>
          <w:rFonts w:hint="eastAsia" w:ascii="仿宋_GB2312" w:hAnsi="仿宋_GB2312" w:eastAsia="仿宋_GB2312" w:cs="仿宋_GB2312"/>
          <w:b w:val="0"/>
          <w:bCs w:val="0"/>
          <w:i w:val="0"/>
          <w:iCs w:val="0"/>
          <w:color w:val="auto"/>
          <w:sz w:val="30"/>
          <w:szCs w:val="30"/>
          <w:lang w:val="en-US" w:eastAsia="zh-CN"/>
        </w:rPr>
        <w:t>组织实施工业企业能效“领跑者”和</w:t>
      </w:r>
      <w:r>
        <w:rPr>
          <w:rFonts w:hint="eastAsia" w:ascii="仿宋_GB2312" w:hAnsi="仿宋_GB2312" w:eastAsia="仿宋_GB2312" w:cs="仿宋_GB2312"/>
          <w:b w:val="0"/>
          <w:bCs w:val="0"/>
          <w:i w:val="0"/>
          <w:iCs w:val="0"/>
          <w:color w:val="auto"/>
          <w:spacing w:val="0"/>
          <w:kern w:val="2"/>
          <w:sz w:val="30"/>
          <w:szCs w:val="30"/>
        </w:rPr>
        <w:t>对标</w:t>
      </w:r>
      <w:r>
        <w:rPr>
          <w:rFonts w:hint="eastAsia" w:ascii="仿宋_GB2312" w:hAnsi="仿宋_GB2312" w:eastAsia="仿宋_GB2312" w:cs="仿宋_GB2312"/>
          <w:b w:val="0"/>
          <w:bCs w:val="0"/>
          <w:i w:val="0"/>
          <w:iCs w:val="0"/>
          <w:color w:val="auto"/>
          <w:spacing w:val="0"/>
          <w:kern w:val="2"/>
          <w:sz w:val="30"/>
          <w:szCs w:val="30"/>
          <w:lang w:eastAsia="zh-CN"/>
        </w:rPr>
        <w:t>达标</w:t>
      </w:r>
      <w:r>
        <w:rPr>
          <w:rFonts w:hint="eastAsia" w:ascii="仿宋_GB2312" w:hAnsi="仿宋_GB2312" w:eastAsia="仿宋_GB2312" w:cs="仿宋_GB2312"/>
          <w:b w:val="0"/>
          <w:bCs w:val="0"/>
          <w:i w:val="0"/>
          <w:iCs w:val="0"/>
          <w:color w:val="auto"/>
          <w:spacing w:val="0"/>
          <w:kern w:val="2"/>
          <w:sz w:val="30"/>
          <w:szCs w:val="30"/>
        </w:rPr>
        <w:t>行动，</w:t>
      </w:r>
      <w:r>
        <w:rPr>
          <w:rFonts w:hint="eastAsia" w:ascii="仿宋_GB2312" w:hAnsi="仿宋_GB2312" w:eastAsia="仿宋_GB2312" w:cs="仿宋_GB2312"/>
          <w:b w:val="0"/>
          <w:bCs w:val="0"/>
          <w:i w:val="0"/>
          <w:iCs w:val="0"/>
          <w:color w:val="auto"/>
          <w:spacing w:val="0"/>
          <w:kern w:val="2"/>
          <w:sz w:val="30"/>
          <w:szCs w:val="30"/>
          <w:lang w:eastAsia="zh-CN"/>
        </w:rPr>
        <w:t>在</w:t>
      </w:r>
      <w:r>
        <w:rPr>
          <w:rFonts w:hint="eastAsia" w:ascii="仿宋_GB2312" w:hAnsi="仿宋_GB2312" w:eastAsia="仿宋_GB2312" w:cs="仿宋_GB2312"/>
          <w:b w:val="0"/>
          <w:bCs w:val="0"/>
          <w:i w:val="0"/>
          <w:iCs w:val="0"/>
          <w:color w:val="auto"/>
          <w:sz w:val="30"/>
          <w:szCs w:val="30"/>
          <w:lang w:val="en-US" w:eastAsia="zh-CN"/>
        </w:rPr>
        <w:t>多元合金、水泥、碳素、活性炭、等行业开展重点用能企业节能诊断推广</w:t>
      </w:r>
      <w:r>
        <w:rPr>
          <w:rFonts w:hint="eastAsia" w:ascii="仿宋_GB2312" w:hAnsi="仿宋_GB2312" w:eastAsia="仿宋_GB2312" w:cs="仿宋_GB2312"/>
          <w:b w:val="0"/>
          <w:bCs w:val="0"/>
          <w:i w:val="0"/>
          <w:iCs w:val="0"/>
          <w:color w:val="auto"/>
          <w:kern w:val="2"/>
          <w:sz w:val="30"/>
          <w:szCs w:val="30"/>
          <w:lang w:val="en-US" w:eastAsia="zh-CN" w:bidi="ar-SA"/>
        </w:rPr>
        <w:t>。</w:t>
      </w:r>
      <w:r>
        <w:rPr>
          <w:rFonts w:hint="eastAsia" w:ascii="仿宋_GB2312" w:hAnsi="仿宋_GB2312" w:eastAsia="仿宋_GB2312" w:cs="仿宋_GB2312"/>
          <w:b w:val="0"/>
          <w:bCs w:val="0"/>
          <w:i w:val="0"/>
          <w:iCs w:val="0"/>
          <w:caps w:val="0"/>
          <w:color w:val="auto"/>
          <w:spacing w:val="0"/>
          <w:sz w:val="30"/>
          <w:szCs w:val="30"/>
          <w:shd w:val="clear" w:color="auto" w:fill="auto"/>
          <w:lang w:eastAsia="zh-CN"/>
        </w:rPr>
        <w:t>严格落实节能审查制度</w:t>
      </w:r>
      <w:r>
        <w:rPr>
          <w:rFonts w:hint="eastAsia" w:ascii="仿宋_GB2312" w:hAnsi="仿宋_GB2312" w:eastAsia="仿宋_GB2312" w:cs="仿宋_GB2312"/>
          <w:b w:val="0"/>
          <w:bCs w:val="0"/>
          <w:i w:val="0"/>
          <w:iCs w:val="0"/>
          <w:color w:val="auto"/>
          <w:sz w:val="30"/>
          <w:szCs w:val="30"/>
          <w:lang w:eastAsia="zh-CN"/>
        </w:rPr>
        <w:t>，</w:t>
      </w:r>
      <w:r>
        <w:rPr>
          <w:rFonts w:hint="eastAsia" w:ascii="仿宋_GB2312" w:hAnsi="仿宋_GB2312" w:eastAsia="仿宋_GB2312" w:cs="仿宋_GB2312"/>
          <w:b w:val="0"/>
          <w:bCs w:val="0"/>
          <w:i w:val="0"/>
          <w:iCs w:val="0"/>
          <w:caps w:val="0"/>
          <w:color w:val="auto"/>
          <w:spacing w:val="0"/>
          <w:sz w:val="30"/>
          <w:szCs w:val="30"/>
          <w:shd w:val="clear" w:color="auto" w:fill="auto"/>
          <w:lang w:eastAsia="zh-CN"/>
        </w:rPr>
        <w:t>严格执行高</w:t>
      </w:r>
      <w:r>
        <w:rPr>
          <w:rFonts w:hint="eastAsia" w:ascii="仿宋_GB2312" w:hAnsi="仿宋_GB2312" w:eastAsia="仿宋_GB2312" w:cs="仿宋_GB2312"/>
          <w:b w:val="0"/>
          <w:bCs w:val="0"/>
          <w:i w:val="0"/>
          <w:iCs w:val="0"/>
          <w:caps w:val="0"/>
          <w:color w:val="auto"/>
          <w:spacing w:val="0"/>
          <w:sz w:val="30"/>
          <w:szCs w:val="30"/>
          <w:shd w:val="clear" w:color="auto" w:fill="auto"/>
          <w:lang w:val="en-US" w:eastAsia="zh-CN"/>
        </w:rPr>
        <w:t>载</w:t>
      </w:r>
      <w:r>
        <w:rPr>
          <w:rFonts w:hint="eastAsia" w:ascii="仿宋_GB2312" w:hAnsi="仿宋_GB2312" w:eastAsia="仿宋_GB2312" w:cs="仿宋_GB2312"/>
          <w:b w:val="0"/>
          <w:bCs w:val="0"/>
          <w:i w:val="0"/>
          <w:iCs w:val="0"/>
          <w:caps w:val="0"/>
          <w:color w:val="auto"/>
          <w:spacing w:val="0"/>
          <w:sz w:val="30"/>
          <w:szCs w:val="30"/>
          <w:shd w:val="clear" w:color="auto" w:fill="auto"/>
          <w:lang w:eastAsia="zh-CN"/>
        </w:rPr>
        <w:t>能行业产能置换。</w:t>
      </w:r>
      <w:r>
        <w:rPr>
          <w:rFonts w:hint="eastAsia" w:ascii="仿宋_GB2312" w:hAnsi="仿宋_GB2312" w:eastAsia="仿宋_GB2312" w:cs="仿宋_GB2312"/>
          <w:b w:val="0"/>
          <w:bCs w:val="0"/>
          <w:i w:val="0"/>
          <w:iCs w:val="0"/>
          <w:caps w:val="0"/>
          <w:color w:val="auto"/>
          <w:spacing w:val="0"/>
          <w:sz w:val="30"/>
          <w:szCs w:val="30"/>
          <w:shd w:val="clear" w:color="auto" w:fill="auto"/>
          <w:lang w:val="en-US" w:eastAsia="zh-CN"/>
        </w:rPr>
        <w:t>按照新修订的《宁夏用能单位产品能耗限额指标目录》标准</w:t>
      </w:r>
      <w:r>
        <w:rPr>
          <w:rFonts w:hint="eastAsia" w:ascii="仿宋_GB2312" w:hAnsi="仿宋_GB2312" w:eastAsia="仿宋_GB2312" w:cs="仿宋_GB2312"/>
          <w:b w:val="0"/>
          <w:bCs w:val="0"/>
          <w:i w:val="0"/>
          <w:iCs w:val="0"/>
          <w:color w:val="auto"/>
          <w:kern w:val="2"/>
          <w:sz w:val="30"/>
          <w:szCs w:val="30"/>
          <w:lang w:val="en-US" w:eastAsia="zh-CN" w:bidi="ar-SA"/>
        </w:rPr>
        <w:t>，</w:t>
      </w:r>
      <w:r>
        <w:rPr>
          <w:rFonts w:hint="eastAsia" w:ascii="仿宋_GB2312" w:hAnsi="仿宋_GB2312" w:eastAsia="仿宋_GB2312" w:cs="仿宋_GB2312"/>
          <w:b w:val="0"/>
          <w:bCs w:val="0"/>
          <w:i w:val="0"/>
          <w:iCs w:val="0"/>
          <w:color w:val="auto"/>
          <w:w w:val="100"/>
          <w:kern w:val="2"/>
          <w:sz w:val="30"/>
          <w:szCs w:val="30"/>
          <w:lang w:val="en-US" w:eastAsia="zh-CN" w:bidi="ar-SA"/>
        </w:rPr>
        <w:t>对重点用能企业启动新一轮节能执法监察，加强重点用能企业能耗“双控”目标管理。</w:t>
      </w:r>
      <w:r>
        <w:rPr>
          <w:rFonts w:hint="eastAsia" w:ascii="仿宋_GB2312" w:hAnsi="仿宋_GB2312" w:eastAsia="仿宋_GB2312" w:cs="仿宋_GB2312"/>
          <w:b w:val="0"/>
          <w:bCs w:val="0"/>
          <w:i w:val="0"/>
          <w:iCs w:val="0"/>
          <w:color w:val="auto"/>
          <w:kern w:val="2"/>
          <w:sz w:val="30"/>
          <w:szCs w:val="30"/>
          <w:lang w:val="en-US" w:eastAsia="zh-CN" w:bidi="ar-SA"/>
        </w:rPr>
        <w:t>推进工业节水改造，加强节水型企业建设，强化用</w:t>
      </w:r>
      <w:r>
        <w:rPr>
          <w:rFonts w:hint="eastAsia" w:ascii="仿宋_GB2312" w:hAnsi="仿宋_GB2312" w:eastAsia="仿宋_GB2312" w:cs="仿宋_GB2312"/>
          <w:b w:val="0"/>
          <w:bCs w:val="0"/>
          <w:i w:val="0"/>
          <w:iCs w:val="0"/>
          <w:caps w:val="0"/>
          <w:color w:val="auto"/>
          <w:spacing w:val="0"/>
          <w:sz w:val="30"/>
          <w:szCs w:val="30"/>
          <w:shd w:val="clear" w:color="auto" w:fill="auto"/>
          <w:lang w:eastAsia="zh-CN"/>
        </w:rPr>
        <w:t>水定额管理，</w:t>
      </w:r>
      <w:r>
        <w:rPr>
          <w:rFonts w:hint="eastAsia" w:ascii="仿宋_GB2312" w:hAnsi="仿宋_GB2312" w:eastAsia="仿宋_GB2312" w:cs="仿宋_GB2312"/>
          <w:b w:val="0"/>
          <w:bCs w:val="0"/>
          <w:i w:val="0"/>
          <w:iCs w:val="0"/>
          <w:caps w:val="0"/>
          <w:color w:val="auto"/>
          <w:spacing w:val="0"/>
          <w:sz w:val="30"/>
          <w:szCs w:val="30"/>
          <w:shd w:val="clear" w:color="auto" w:fill="auto"/>
        </w:rPr>
        <w:t>推</w:t>
      </w:r>
      <w:r>
        <w:rPr>
          <w:rFonts w:hint="eastAsia" w:ascii="仿宋_GB2312" w:hAnsi="仿宋_GB2312" w:eastAsia="仿宋_GB2312" w:cs="仿宋_GB2312"/>
          <w:b w:val="0"/>
          <w:bCs w:val="0"/>
          <w:i w:val="0"/>
          <w:iCs w:val="0"/>
          <w:caps w:val="0"/>
          <w:color w:val="auto"/>
          <w:spacing w:val="0"/>
          <w:sz w:val="30"/>
          <w:szCs w:val="30"/>
          <w:shd w:val="clear" w:color="auto" w:fill="auto"/>
          <w:lang w:val="en-US" w:eastAsia="zh-CN"/>
        </w:rPr>
        <w:t>广</w:t>
      </w:r>
      <w:r>
        <w:rPr>
          <w:rFonts w:hint="eastAsia" w:ascii="仿宋_GB2312" w:hAnsi="仿宋_GB2312" w:eastAsia="仿宋_GB2312" w:cs="仿宋_GB2312"/>
          <w:b w:val="0"/>
          <w:bCs w:val="0"/>
          <w:i w:val="0"/>
          <w:iCs w:val="0"/>
          <w:caps w:val="0"/>
          <w:color w:val="auto"/>
          <w:spacing w:val="0"/>
          <w:sz w:val="30"/>
          <w:szCs w:val="30"/>
          <w:shd w:val="clear" w:color="auto" w:fill="auto"/>
        </w:rPr>
        <w:t>水循环梯级利用</w:t>
      </w:r>
      <w:r>
        <w:rPr>
          <w:rFonts w:hint="eastAsia" w:ascii="仿宋_GB2312" w:hAnsi="仿宋_GB2312" w:eastAsia="仿宋_GB2312" w:cs="仿宋_GB2312"/>
          <w:b w:val="0"/>
          <w:bCs w:val="0"/>
          <w:i w:val="0"/>
          <w:iCs w:val="0"/>
          <w:caps w:val="0"/>
          <w:color w:val="auto"/>
          <w:spacing w:val="0"/>
          <w:sz w:val="30"/>
          <w:szCs w:val="30"/>
          <w:shd w:val="clear" w:color="auto" w:fill="auto"/>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02" w:firstLineChars="200"/>
        <w:jc w:val="both"/>
        <w:textAlignment w:val="auto"/>
        <w:outlineLvl w:val="9"/>
        <w:rPr>
          <w:rFonts w:hint="eastAsia" w:ascii="仿宋_GB2312" w:hAnsi="仿宋_GB2312" w:eastAsia="仿宋_GB2312" w:cs="仿宋_GB2312"/>
          <w:b w:val="0"/>
          <w:bCs w:val="0"/>
          <w:i w:val="0"/>
          <w:iCs w:val="0"/>
          <w:color w:val="000000" w:themeColor="text1"/>
          <w:kern w:val="2"/>
          <w:sz w:val="30"/>
          <w:szCs w:val="30"/>
          <w:shd w:val="clear" w:color="auto" w:fill="auto"/>
          <w:lang w:val="en-US" w:eastAsia="zh-CN" w:bidi="ar-SA"/>
          <w14:textFill>
            <w14:solidFill>
              <w14:schemeClr w14:val="tx1"/>
            </w14:solidFill>
          </w14:textFill>
        </w:rPr>
      </w:pPr>
      <w:r>
        <w:rPr>
          <w:rFonts w:hint="eastAsia" w:ascii="仿宋_GB2312" w:hAnsi="仿宋_GB2312" w:eastAsia="仿宋_GB2312" w:cs="仿宋_GB2312"/>
          <w:b/>
          <w:bCs/>
          <w:i w:val="0"/>
          <w:iCs w:val="0"/>
          <w:color w:val="000000" w:themeColor="text1"/>
          <w:sz w:val="30"/>
          <w:szCs w:val="30"/>
          <w:lang w:val="en-US" w:eastAsia="zh-CN"/>
          <w14:textFill>
            <w14:solidFill>
              <w14:schemeClr w14:val="tx1"/>
            </w14:solidFill>
          </w14:textFill>
        </w:rPr>
        <w:t>提高资源综合利用水平。</w:t>
      </w:r>
      <w:r>
        <w:rPr>
          <w:rFonts w:hint="eastAsia" w:ascii="仿宋_GB2312" w:hAnsi="仿宋_GB2312" w:eastAsia="仿宋_GB2312" w:cs="仿宋_GB2312"/>
          <w:b w:val="0"/>
          <w:bCs w:val="0"/>
          <w:color w:val="000000" w:themeColor="text1"/>
          <w:kern w:val="0"/>
          <w:sz w:val="32"/>
          <w:szCs w:val="32"/>
          <w:highlight w:val="none"/>
          <w:u w:val="none"/>
          <w:lang w:val="en-US" w:eastAsia="zh-CN" w:bidi="ar"/>
          <w14:textFill>
            <w14:solidFill>
              <w14:schemeClr w14:val="tx1"/>
            </w14:solidFill>
          </w14:textFill>
        </w:rPr>
        <w:t>狠抓绿色低碳发展，严格落实“三线一单”管控制度</w:t>
      </w:r>
      <w:r>
        <w:rPr>
          <w:rFonts w:hint="default" w:ascii="仿宋_GB2312" w:hAnsi="仿宋_GB2312" w:eastAsia="仿宋_GB2312" w:cs="仿宋_GB2312"/>
          <w:b w:val="0"/>
          <w:bCs w:val="0"/>
          <w:color w:val="000000" w:themeColor="text1"/>
          <w:kern w:val="0"/>
          <w:sz w:val="32"/>
          <w:szCs w:val="32"/>
          <w:highlight w:val="none"/>
          <w:u w:val="none"/>
          <w:lang w:val="en" w:eastAsia="zh-CN" w:bidi="ar"/>
          <w14:textFill>
            <w14:solidFill>
              <w14:schemeClr w14:val="tx1"/>
            </w14:solidFill>
          </w14:textFill>
        </w:rPr>
        <w:t>，</w:t>
      </w:r>
      <w:r>
        <w:rPr>
          <w:rFonts w:hint="eastAsia" w:ascii="仿宋_GB2312" w:hAnsi="仿宋_GB2312" w:eastAsia="仿宋_GB2312" w:cs="仿宋_GB2312"/>
          <w:b w:val="0"/>
          <w:bCs w:val="0"/>
          <w:color w:val="000000" w:themeColor="text1"/>
          <w:kern w:val="0"/>
          <w:sz w:val="32"/>
          <w:szCs w:val="32"/>
          <w:highlight w:val="none"/>
          <w:u w:val="none"/>
          <w:lang w:val="en-US" w:eastAsia="zh-CN" w:bidi="ar"/>
          <w14:textFill>
            <w14:solidFill>
              <w14:schemeClr w14:val="tx1"/>
            </w14:solidFill>
          </w14:textFill>
        </w:rPr>
        <w:t>确保资源可持续、环境可承载。认真落实碳达峰碳中和目标要求，坚决遏制“两高”项目盲目发展。探索“工业+生态”发展模式，大力发展循环经济，实施余热回收发电、尾气制燃料乙醇等再生资源利用项目，走出一条“吃干榨尽”变废为宝的绿色发展路子。</w:t>
      </w:r>
      <w:r>
        <w:rPr>
          <w:rFonts w:hint="eastAsia" w:ascii="仿宋_GB2312" w:hAnsi="仿宋_GB2312" w:eastAsia="仿宋_GB2312" w:cs="仿宋_GB2312"/>
          <w:b w:val="0"/>
          <w:bCs w:val="0"/>
          <w:i w:val="0"/>
          <w:iCs w:val="0"/>
          <w:color w:val="000000" w:themeColor="text1"/>
          <w:sz w:val="30"/>
          <w:szCs w:val="30"/>
          <w:lang w:val="en-US" w:eastAsia="zh-CN"/>
          <w14:textFill>
            <w14:solidFill>
              <w14:schemeClr w14:val="tx1"/>
            </w14:solidFill>
          </w14:textFill>
        </w:rPr>
        <w:t>鼓励实施固废处置梯级收费政策。火电、煤化工等重点产废企业要落实环评报告及批复中的固废综合利用措施。完善和落实大宗固废用于建筑材料、道路建设、农业等领域标准和规范，加大固废利用技术推广力度，</w:t>
      </w:r>
      <w:r>
        <w:rPr>
          <w:rFonts w:hint="eastAsia" w:ascii="仿宋_GB2312" w:hAnsi="仿宋_GB2312" w:eastAsia="仿宋_GB2312" w:cs="仿宋_GB2312"/>
          <w:b w:val="0"/>
          <w:bCs w:val="0"/>
          <w:i w:val="0"/>
          <w:iCs w:val="0"/>
          <w:color w:val="000000" w:themeColor="text1"/>
          <w:sz w:val="30"/>
          <w:szCs w:val="30"/>
          <w:shd w:val="clear" w:color="auto" w:fill="auto"/>
          <w:lang w:val="en-US" w:eastAsia="zh-CN"/>
          <w14:textFill>
            <w14:solidFill>
              <w14:schemeClr w14:val="tx1"/>
            </w14:solidFill>
          </w14:textFill>
        </w:rPr>
        <w:t>培育和扶持一批资源综合利用示范企业，实施一批工业固废综合利用示范项目，提高全县一般工业固废综合利用率。</w:t>
      </w:r>
      <w:r>
        <w:rPr>
          <w:rFonts w:hint="eastAsia" w:ascii="仿宋_GB2312" w:hAnsi="仿宋_GB2312" w:eastAsia="仿宋_GB2312" w:cs="仿宋_GB2312"/>
          <w:b w:val="0"/>
          <w:bCs w:val="0"/>
          <w:i w:val="0"/>
          <w:iCs w:val="0"/>
          <w:color w:val="000000" w:themeColor="text1"/>
          <w:kern w:val="2"/>
          <w:sz w:val="30"/>
          <w:szCs w:val="30"/>
          <w:shd w:val="clear" w:color="auto" w:fill="auto"/>
          <w:lang w:val="en-US" w:eastAsia="zh-CN" w:bidi="ar-SA"/>
          <w14:textFill>
            <w14:solidFill>
              <w14:schemeClr w14:val="tx1"/>
            </w14:solidFill>
          </w14:textFill>
        </w:rPr>
        <w:t>鼓励企业与高校及科研院所合作，开展煤基固废、冶金碴、电石氰胺碴等工业固废规模化利用技术攻关。</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02" w:firstLineChars="200"/>
        <w:jc w:val="both"/>
        <w:textAlignment w:val="auto"/>
        <w:outlineLvl w:val="9"/>
        <w:rPr>
          <w:rFonts w:hint="eastAsia" w:ascii="仿宋_GB2312" w:hAnsi="仿宋_GB2312" w:eastAsia="仿宋_GB2312" w:cs="仿宋_GB2312"/>
          <w:b w:val="0"/>
          <w:bCs w:val="0"/>
          <w:i w:val="0"/>
          <w:iCs w:val="0"/>
          <w:color w:val="auto"/>
          <w:sz w:val="30"/>
          <w:szCs w:val="30"/>
          <w:lang w:val="en-US" w:eastAsia="zh-CN"/>
        </w:rPr>
      </w:pPr>
      <w:r>
        <w:rPr>
          <w:rFonts w:hint="eastAsia" w:ascii="仿宋_GB2312" w:hAnsi="仿宋_GB2312" w:eastAsia="仿宋_GB2312" w:cs="仿宋_GB2312"/>
          <w:b/>
          <w:bCs/>
          <w:i w:val="0"/>
          <w:iCs w:val="0"/>
          <w:color w:val="auto"/>
          <w:sz w:val="30"/>
          <w:szCs w:val="30"/>
          <w:lang w:val="en-US" w:eastAsia="zh-CN"/>
        </w:rPr>
        <w:t>大力推广绿色制造。</w:t>
      </w:r>
      <w:r>
        <w:rPr>
          <w:rFonts w:hint="eastAsia" w:ascii="仿宋_GB2312" w:hAnsi="仿宋_GB2312" w:eastAsia="仿宋_GB2312" w:cs="仿宋_GB2312"/>
          <w:b w:val="0"/>
          <w:bCs w:val="0"/>
          <w:i w:val="0"/>
          <w:iCs w:val="0"/>
          <w:color w:val="auto"/>
          <w:sz w:val="30"/>
          <w:szCs w:val="30"/>
          <w:shd w:val="clear" w:color="auto" w:fill="auto"/>
        </w:rPr>
        <w:t>推进污染治理升级改造</w:t>
      </w:r>
      <w:r>
        <w:rPr>
          <w:rFonts w:hint="eastAsia" w:ascii="仿宋_GB2312" w:hAnsi="仿宋_GB2312" w:eastAsia="仿宋_GB2312" w:cs="仿宋_GB2312"/>
          <w:b w:val="0"/>
          <w:bCs w:val="0"/>
          <w:i w:val="0"/>
          <w:iCs w:val="0"/>
          <w:color w:val="auto"/>
          <w:sz w:val="30"/>
          <w:szCs w:val="30"/>
          <w:shd w:val="clear" w:color="auto" w:fill="auto"/>
          <w:lang w:eastAsia="zh-CN"/>
        </w:rPr>
        <w:t>和</w:t>
      </w:r>
      <w:r>
        <w:rPr>
          <w:rFonts w:hint="eastAsia" w:ascii="仿宋_GB2312" w:hAnsi="仿宋_GB2312" w:eastAsia="仿宋_GB2312" w:cs="仿宋_GB2312"/>
          <w:b w:val="0"/>
          <w:bCs w:val="0"/>
          <w:i w:val="0"/>
          <w:iCs w:val="0"/>
          <w:color w:val="auto"/>
          <w:sz w:val="30"/>
          <w:szCs w:val="30"/>
          <w:shd w:val="clear" w:color="auto" w:fill="auto"/>
        </w:rPr>
        <w:t>强制性清洁生产审核</w:t>
      </w:r>
      <w:r>
        <w:rPr>
          <w:rFonts w:hint="eastAsia" w:ascii="仿宋_GB2312" w:hAnsi="仿宋_GB2312" w:eastAsia="仿宋_GB2312" w:cs="仿宋_GB2312"/>
          <w:b w:val="0"/>
          <w:bCs w:val="0"/>
          <w:i w:val="0"/>
          <w:iCs w:val="0"/>
          <w:color w:val="auto"/>
          <w:sz w:val="30"/>
          <w:szCs w:val="30"/>
          <w:shd w:val="clear" w:color="auto" w:fill="auto"/>
          <w:lang w:eastAsia="zh-CN"/>
        </w:rPr>
        <w:t>，</w:t>
      </w:r>
      <w:r>
        <w:rPr>
          <w:rFonts w:hint="eastAsia" w:ascii="仿宋_GB2312" w:hAnsi="仿宋_GB2312" w:eastAsia="仿宋_GB2312" w:cs="仿宋_GB2312"/>
          <w:b w:val="0"/>
          <w:bCs w:val="0"/>
          <w:i w:val="0"/>
          <w:iCs w:val="0"/>
          <w:color w:val="auto"/>
          <w:sz w:val="30"/>
          <w:szCs w:val="30"/>
          <w:shd w:val="clear" w:color="auto" w:fill="auto"/>
        </w:rPr>
        <w:t>推动企业循环式生产、产业循环式组合，强化工业企业无组织排放管控</w:t>
      </w:r>
      <w:r>
        <w:rPr>
          <w:rFonts w:hint="eastAsia" w:ascii="仿宋_GB2312" w:hAnsi="仿宋_GB2312" w:eastAsia="仿宋_GB2312" w:cs="仿宋_GB2312"/>
          <w:b w:val="0"/>
          <w:bCs w:val="0"/>
          <w:i w:val="0"/>
          <w:iCs w:val="0"/>
          <w:color w:val="auto"/>
          <w:sz w:val="30"/>
          <w:szCs w:val="30"/>
          <w:shd w:val="clear" w:color="auto" w:fill="auto"/>
          <w:lang w:eastAsia="zh-CN"/>
        </w:rPr>
        <w:t>，</w:t>
      </w:r>
      <w:r>
        <w:rPr>
          <w:rFonts w:hint="eastAsia" w:ascii="仿宋_GB2312" w:hAnsi="仿宋_GB2312" w:eastAsia="仿宋_GB2312" w:cs="仿宋_GB2312"/>
          <w:b w:val="0"/>
          <w:bCs w:val="0"/>
          <w:i w:val="0"/>
          <w:iCs w:val="0"/>
          <w:color w:val="auto"/>
          <w:sz w:val="30"/>
          <w:szCs w:val="30"/>
          <w:shd w:val="clear" w:color="auto" w:fill="auto"/>
        </w:rPr>
        <w:t>提高能源资源综合利用效率。推行绿色设计，优先在新材料、节能环保等</w:t>
      </w:r>
      <w:r>
        <w:rPr>
          <w:rFonts w:hint="eastAsia" w:ascii="仿宋_GB2312" w:hAnsi="仿宋_GB2312" w:eastAsia="仿宋_GB2312" w:cs="仿宋_GB2312"/>
          <w:b w:val="0"/>
          <w:bCs w:val="0"/>
          <w:i w:val="0"/>
          <w:iCs w:val="0"/>
          <w:color w:val="auto"/>
          <w:sz w:val="30"/>
          <w:szCs w:val="30"/>
          <w:shd w:val="clear" w:color="auto" w:fill="auto"/>
          <w:lang w:eastAsia="zh-CN"/>
        </w:rPr>
        <w:t>行</w:t>
      </w:r>
      <w:r>
        <w:rPr>
          <w:rFonts w:hint="eastAsia" w:ascii="仿宋_GB2312" w:hAnsi="仿宋_GB2312" w:eastAsia="仿宋_GB2312" w:cs="仿宋_GB2312"/>
          <w:b w:val="0"/>
          <w:bCs w:val="0"/>
          <w:i w:val="0"/>
          <w:iCs w:val="0"/>
          <w:color w:val="auto"/>
          <w:sz w:val="30"/>
          <w:szCs w:val="30"/>
          <w:shd w:val="clear" w:color="auto" w:fill="auto"/>
        </w:rPr>
        <w:t>业领域，开发具有无害化、节能、环保、高可靠性等特性的绿色产品</w:t>
      </w:r>
      <w:r>
        <w:rPr>
          <w:rFonts w:hint="eastAsia" w:ascii="仿宋_GB2312" w:hAnsi="仿宋_GB2312" w:eastAsia="仿宋_GB2312" w:cs="仿宋_GB2312"/>
          <w:b w:val="0"/>
          <w:bCs w:val="0"/>
          <w:i w:val="0"/>
          <w:iCs w:val="0"/>
          <w:color w:val="auto"/>
          <w:sz w:val="30"/>
          <w:szCs w:val="30"/>
          <w:shd w:val="clear" w:color="auto" w:fill="auto"/>
          <w:lang w:eastAsia="zh-CN"/>
        </w:rPr>
        <w:t>。在装备制造、食品、电子信息等行业，</w:t>
      </w:r>
      <w:r>
        <w:rPr>
          <w:rFonts w:hint="eastAsia" w:ascii="仿宋_GB2312" w:hAnsi="仿宋_GB2312" w:eastAsia="仿宋_GB2312" w:cs="仿宋_GB2312"/>
          <w:b w:val="0"/>
          <w:bCs w:val="0"/>
          <w:i w:val="0"/>
          <w:iCs w:val="0"/>
          <w:color w:val="auto"/>
          <w:sz w:val="30"/>
          <w:szCs w:val="30"/>
          <w:shd w:val="clear" w:color="auto" w:fill="auto"/>
        </w:rPr>
        <w:t>采用先进适用的清洁生产工艺和高效末端治理装备，</w:t>
      </w:r>
      <w:r>
        <w:rPr>
          <w:rFonts w:hint="eastAsia" w:ascii="仿宋_GB2312" w:hAnsi="仿宋_GB2312" w:eastAsia="仿宋_GB2312" w:cs="仿宋_GB2312"/>
          <w:b w:val="0"/>
          <w:bCs w:val="0"/>
          <w:i w:val="0"/>
          <w:iCs w:val="0"/>
          <w:color w:val="auto"/>
          <w:sz w:val="30"/>
          <w:szCs w:val="30"/>
          <w:shd w:val="clear" w:color="auto" w:fill="auto"/>
          <w:lang w:val="en-US" w:eastAsia="zh-CN"/>
        </w:rPr>
        <w:t>培育绿色工厂</w:t>
      </w:r>
      <w:r>
        <w:rPr>
          <w:rFonts w:hint="eastAsia" w:ascii="仿宋_GB2312" w:hAnsi="仿宋_GB2312" w:eastAsia="仿宋_GB2312" w:cs="仿宋_GB2312"/>
          <w:b w:val="0"/>
          <w:bCs w:val="0"/>
          <w:i w:val="0"/>
          <w:iCs w:val="0"/>
          <w:color w:val="auto"/>
          <w:sz w:val="30"/>
          <w:szCs w:val="30"/>
          <w:shd w:val="clear" w:color="auto" w:fill="auto"/>
        </w:rPr>
        <w:t>。</w:t>
      </w:r>
      <w:r>
        <w:rPr>
          <w:rFonts w:hint="eastAsia" w:ascii="仿宋_GB2312" w:hAnsi="仿宋_GB2312" w:eastAsia="仿宋_GB2312" w:cs="仿宋_GB2312"/>
          <w:b w:val="0"/>
          <w:bCs w:val="0"/>
          <w:i w:val="0"/>
          <w:iCs w:val="0"/>
          <w:color w:val="auto"/>
          <w:sz w:val="30"/>
          <w:szCs w:val="30"/>
          <w:shd w:val="clear" w:color="auto" w:fill="auto"/>
          <w:lang w:eastAsia="zh-CN"/>
        </w:rPr>
        <w:t>实施园区循环化改造提升工程，着力推动园区绿色化、循环化改造，实现集中供热供气、废水集中治理、能源资源梯级优化利用和固废综合利用，创建绿色园区。</w:t>
      </w:r>
    </w:p>
    <w:p>
      <w:pPr>
        <w:pStyle w:val="5"/>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bCs/>
          <w:i w:val="0"/>
          <w:iCs w:val="0"/>
          <w:color w:val="auto"/>
          <w:sz w:val="32"/>
          <w:szCs w:val="32"/>
          <w:lang w:val="en-US" w:eastAsia="zh-CN"/>
        </w:rPr>
      </w:pPr>
      <w:bookmarkStart w:id="223" w:name="_Toc1875537626"/>
      <w:bookmarkStart w:id="224" w:name="_Toc1411"/>
      <w:bookmarkStart w:id="225" w:name="_Toc1632"/>
      <w:r>
        <w:rPr>
          <w:rFonts w:hint="eastAsia" w:ascii="仿宋" w:hAnsi="仿宋" w:eastAsia="仿宋" w:cs="仿宋"/>
          <w:color w:val="auto"/>
          <w:sz w:val="32"/>
          <w:szCs w:val="32"/>
          <w:lang w:val="en-US" w:eastAsia="zh-CN"/>
        </w:rPr>
        <w:t>(三)技术改造</w:t>
      </w:r>
      <w:bookmarkEnd w:id="223"/>
      <w:bookmarkEnd w:id="224"/>
      <w:bookmarkEnd w:id="225"/>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02" w:firstLineChars="200"/>
        <w:jc w:val="both"/>
        <w:textAlignment w:val="auto"/>
        <w:outlineLvl w:val="9"/>
        <w:rPr>
          <w:rFonts w:hint="eastAsia" w:ascii="仿宋_GB2312" w:hAnsi="仿宋_GB2312" w:eastAsia="仿宋_GB2312" w:cs="仿宋_GB2312"/>
          <w:b w:val="0"/>
          <w:bCs w:val="0"/>
          <w:i w:val="0"/>
          <w:iCs w:val="0"/>
          <w:color w:val="auto"/>
          <w:sz w:val="30"/>
          <w:szCs w:val="30"/>
          <w:lang w:val="en-US" w:eastAsia="zh-CN"/>
        </w:rPr>
      </w:pPr>
      <w:r>
        <w:rPr>
          <w:rFonts w:hint="eastAsia" w:ascii="仿宋_GB2312" w:hAnsi="仿宋_GB2312" w:eastAsia="仿宋_GB2312" w:cs="仿宋_GB2312"/>
          <w:b/>
          <w:bCs/>
          <w:i w:val="0"/>
          <w:iCs w:val="0"/>
          <w:color w:val="auto"/>
          <w:sz w:val="30"/>
          <w:szCs w:val="30"/>
          <w:lang w:val="en-US" w:eastAsia="zh-CN"/>
        </w:rPr>
        <w:t>提升产业链整体技术水平。</w:t>
      </w:r>
      <w:r>
        <w:rPr>
          <w:rFonts w:hint="eastAsia" w:ascii="仿宋_GB2312" w:hAnsi="仿宋_GB2312" w:eastAsia="仿宋_GB2312" w:cs="仿宋_GB2312"/>
          <w:b w:val="0"/>
          <w:bCs w:val="0"/>
          <w:i w:val="0"/>
          <w:iCs w:val="0"/>
          <w:color w:val="auto"/>
          <w:sz w:val="30"/>
          <w:szCs w:val="30"/>
          <w:lang w:val="en-US" w:eastAsia="zh-CN"/>
        </w:rPr>
        <w:t>推进产业链纵向延伸、横向耦合，</w:t>
      </w:r>
      <w:r>
        <w:rPr>
          <w:rFonts w:hint="eastAsia" w:ascii="仿宋_GB2312" w:hAnsi="仿宋_GB2312" w:eastAsia="仿宋_GB2312" w:cs="仿宋_GB2312"/>
          <w:color w:val="auto"/>
          <w:sz w:val="30"/>
          <w:szCs w:val="30"/>
          <w:lang w:val="en-US" w:eastAsia="zh-CN"/>
        </w:rPr>
        <w:t>按照《自治区工业企业技术改造投资指南》，以绿色氰胺、新材料、先进装备制造产业为重点，细化各行业投资重点和技术改造方向，推动上下游企业协同改造升级，催生新动能。进一步加大技改项目的组织推进和招商引资力度，建立完善技术改造重点项目库，重点推进金筑新材料矿渣微粉、丰华生物芳纶聚合单体等一批技改项目，实行项目库动态管理，加强长期跟踪服务督导，在项目用地、用能、财政金融政策等方面给予重点倾斜。</w:t>
      </w:r>
    </w:p>
    <w:p>
      <w:pPr>
        <w:pageBreakBefore w:val="0"/>
        <w:widowControl w:val="0"/>
        <w:kinsoku/>
        <w:wordWrap/>
        <w:overflowPunct/>
        <w:topLinePunct w:val="0"/>
        <w:autoSpaceDE/>
        <w:autoSpaceDN/>
        <w:bidi w:val="0"/>
        <w:adjustRightInd/>
        <w:snapToGrid/>
        <w:spacing w:line="560" w:lineRule="exact"/>
        <w:ind w:firstLine="602" w:firstLineChars="200"/>
        <w:textAlignment w:val="auto"/>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b/>
          <w:bCs/>
          <w:color w:val="auto"/>
          <w:sz w:val="30"/>
          <w:szCs w:val="30"/>
          <w:lang w:val="en-US" w:eastAsia="zh-CN"/>
        </w:rPr>
        <w:t>提高企业自主创新能力。</w:t>
      </w:r>
      <w:r>
        <w:rPr>
          <w:rFonts w:hint="eastAsia" w:ascii="仿宋_GB2312" w:hAnsi="仿宋_GB2312" w:eastAsia="仿宋_GB2312" w:cs="仿宋_GB2312"/>
          <w:color w:val="auto"/>
          <w:sz w:val="30"/>
          <w:szCs w:val="30"/>
          <w:lang w:val="en-US" w:eastAsia="zh-CN"/>
        </w:rPr>
        <w:t>搭建多主体协同、跨区域合作、创新资源共享的产业链协同创新平台</w:t>
      </w:r>
      <w:r>
        <w:rPr>
          <w:rFonts w:hint="eastAsia" w:ascii="仿宋_GB2312" w:hAnsi="仿宋_GB2312" w:eastAsia="仿宋_GB2312" w:cs="仿宋_GB2312"/>
          <w:color w:val="auto"/>
          <w:sz w:val="30"/>
          <w:szCs w:val="30"/>
          <w:lang w:eastAsia="zh-CN"/>
        </w:rPr>
        <w:t>。大力培育技术创新示范企业、科技型中小企业、高新技术企业，支持建立企业技术中心、重点实验室、工程（技术）研究中心等科技创新平台和产业研究院等新型研发机构。引导企业与科研机构、高等院校合作，在新材料、装备制造等优势行业，重点推进核心基础零部件及元器件、关键基础材料和先进基础工艺的科技创新和技术提升改造。在绿色氰胺新兴行业，重点转化一批具有产业化前景的高新技术成果。进一步促进新技术、新产品应用的需求引导。</w:t>
      </w:r>
    </w:p>
    <w:p>
      <w:pPr>
        <w:keepNext w:val="0"/>
        <w:keepLines w:val="0"/>
        <w:pageBreakBefore w:val="0"/>
        <w:widowControl w:val="0"/>
        <w:kinsoku/>
        <w:wordWrap/>
        <w:overflowPunct/>
        <w:topLinePunct w:val="0"/>
        <w:autoSpaceDE/>
        <w:autoSpaceDN/>
        <w:bidi w:val="0"/>
        <w:adjustRightInd/>
        <w:snapToGrid/>
        <w:spacing w:line="560" w:lineRule="exact"/>
        <w:ind w:firstLine="602" w:firstLineChars="20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b/>
          <w:bCs/>
          <w:color w:val="auto"/>
          <w:sz w:val="30"/>
          <w:szCs w:val="30"/>
          <w:lang w:val="en-US" w:eastAsia="zh-CN"/>
        </w:rPr>
        <w:t>强化行业标准体系建设。</w:t>
      </w:r>
      <w:r>
        <w:rPr>
          <w:rFonts w:hint="eastAsia" w:ascii="仿宋_GB2312" w:hAnsi="仿宋_GB2312" w:eastAsia="仿宋_GB2312" w:cs="仿宋_GB2312"/>
          <w:color w:val="auto"/>
          <w:sz w:val="30"/>
          <w:szCs w:val="30"/>
          <w:lang w:val="en-US" w:eastAsia="zh-CN"/>
        </w:rPr>
        <w:t>从企业内部管理、技术装备、质量标准、技术研发、节能减排、两化融合、安全生产七个方面实施新一轮规上企业对标全覆盖。</w:t>
      </w:r>
      <w:r>
        <w:rPr>
          <w:rFonts w:hint="eastAsia" w:ascii="仿宋_GB2312" w:hAnsi="仿宋_GB2312" w:eastAsia="仿宋_GB2312" w:cs="仿宋_GB2312"/>
          <w:color w:val="auto"/>
          <w:sz w:val="30"/>
          <w:szCs w:val="30"/>
          <w:highlight w:val="none"/>
          <w:lang w:val="en-US" w:eastAsia="zh-CN"/>
        </w:rPr>
        <w:t>围绕产业基础、产业链现代化</w:t>
      </w:r>
      <w:r>
        <w:rPr>
          <w:rFonts w:hint="eastAsia" w:ascii="仿宋_GB2312" w:hAnsi="仿宋_GB2312" w:eastAsia="仿宋_GB2312" w:cs="仿宋_GB2312"/>
          <w:color w:val="auto"/>
          <w:sz w:val="30"/>
          <w:szCs w:val="30"/>
          <w:lang w:val="en-US" w:eastAsia="zh-CN"/>
        </w:rPr>
        <w:t>，完善对标指标体系，依据区、市行业对标指标调整，对全县工业行业对标指标进行同步调整，增加技术、工艺、装备等创新指标，推动对标工作向更高层次展开。</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643" w:firstLineChars="200"/>
        <w:jc w:val="both"/>
        <w:textAlignment w:val="auto"/>
        <w:outlineLvl w:val="2"/>
        <w:rPr>
          <w:rFonts w:hint="eastAsia" w:ascii="仿宋_GB2312" w:hAnsi="仿宋_GB2312" w:eastAsia="仿宋_GB2312" w:cs="仿宋_GB2312"/>
          <w:b w:val="0"/>
          <w:bCs w:val="0"/>
          <w:i w:val="0"/>
          <w:iCs w:val="0"/>
          <w:color w:val="auto"/>
          <w:sz w:val="32"/>
          <w:szCs w:val="32"/>
          <w:lang w:val="en-US" w:eastAsia="zh-CN"/>
        </w:rPr>
      </w:pPr>
      <w:bookmarkStart w:id="226" w:name="_Toc289344388"/>
      <w:bookmarkStart w:id="227" w:name="_Toc27455"/>
      <w:bookmarkStart w:id="228" w:name="_Toc29910"/>
      <w:r>
        <w:rPr>
          <w:rStyle w:val="25"/>
          <w:rFonts w:hint="eastAsia" w:ascii="仿宋" w:hAnsi="仿宋" w:eastAsia="仿宋" w:cs="仿宋"/>
          <w:lang w:val="en-US" w:eastAsia="zh-CN"/>
        </w:rPr>
        <w:t>(四)</w:t>
      </w:r>
      <w:r>
        <w:rPr>
          <w:rStyle w:val="25"/>
          <w:rFonts w:hint="eastAsia" w:ascii="仿宋" w:hAnsi="仿宋" w:eastAsia="仿宋" w:cs="仿宋"/>
          <w:color w:val="auto"/>
          <w:lang w:val="en-US" w:eastAsia="zh-CN"/>
        </w:rPr>
        <w:t>智能改造</w:t>
      </w:r>
      <w:bookmarkEnd w:id="226"/>
      <w:bookmarkEnd w:id="227"/>
      <w:bookmarkEnd w:id="228"/>
      <w:r>
        <w:rPr>
          <w:rStyle w:val="25"/>
          <w:rFonts w:hint="eastAsia" w:ascii="仿宋" w:hAnsi="仿宋" w:eastAsia="仿宋" w:cs="仿宋"/>
          <w:color w:val="auto"/>
          <w:lang w:val="en-US" w:eastAsia="zh-CN"/>
        </w:rPr>
        <w:t xml:space="preserve">  </w:t>
      </w:r>
      <w:r>
        <w:rPr>
          <w:rFonts w:hint="eastAsia" w:asciiTheme="majorEastAsia" w:hAnsiTheme="majorEastAsia" w:eastAsiaTheme="majorEastAsia" w:cstheme="majorEastAsia"/>
          <w:b w:val="0"/>
          <w:bCs w:val="0"/>
          <w:i w:val="0"/>
          <w:iCs w:val="0"/>
          <w:caps w:val="0"/>
          <w:color w:val="auto"/>
          <w:spacing w:val="0"/>
          <w:kern w:val="0"/>
          <w:sz w:val="32"/>
          <w:szCs w:val="32"/>
          <w:shd w:val="clear" w:color="auto" w:fill="FFFFFF"/>
          <w:lang w:val="en-US" w:eastAsia="zh-CN" w:bidi="ar"/>
        </w:rPr>
        <w:t xml:space="preserve">  </w:t>
      </w:r>
      <w:r>
        <w:rPr>
          <w:rFonts w:hint="eastAsia" w:ascii="仿宋_GB2312" w:hAnsi="仿宋_GB2312" w:eastAsia="仿宋_GB2312" w:cs="仿宋_GB2312"/>
          <w:b w:val="0"/>
          <w:bCs w:val="0"/>
          <w:i w:val="0"/>
          <w:iCs w:val="0"/>
          <w:caps w:val="0"/>
          <w:color w:val="auto"/>
          <w:spacing w:val="0"/>
          <w:kern w:val="0"/>
          <w:sz w:val="32"/>
          <w:szCs w:val="32"/>
          <w:shd w:val="clear" w:color="auto" w:fill="FFFFFF"/>
          <w:lang w:val="en-US" w:eastAsia="zh-CN" w:bidi="ar"/>
        </w:rPr>
        <w:t xml:space="preserve">         </w:t>
      </w:r>
    </w:p>
    <w:p>
      <w:pPr>
        <w:keepNext w:val="0"/>
        <w:keepLines w:val="0"/>
        <w:pageBreakBefore w:val="0"/>
        <w:kinsoku/>
        <w:wordWrap/>
        <w:overflowPunct/>
        <w:topLinePunct w:val="0"/>
        <w:autoSpaceDE/>
        <w:autoSpaceDN/>
        <w:bidi w:val="0"/>
        <w:adjustRightInd/>
        <w:snapToGrid/>
        <w:spacing w:line="560" w:lineRule="exact"/>
        <w:ind w:firstLine="602" w:firstLineChars="20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b/>
          <w:bCs/>
          <w:color w:val="auto"/>
          <w:sz w:val="30"/>
          <w:szCs w:val="30"/>
          <w:lang w:val="en-US" w:eastAsia="zh-CN"/>
        </w:rPr>
        <w:t>夯实智能改造基础能力。</w:t>
      </w:r>
      <w:r>
        <w:rPr>
          <w:rFonts w:hint="eastAsia" w:ascii="仿宋_GB2312" w:hAnsi="仿宋_GB2312" w:eastAsia="仿宋_GB2312" w:cs="仿宋_GB2312"/>
          <w:color w:val="auto"/>
          <w:sz w:val="30"/>
          <w:szCs w:val="30"/>
          <w:lang w:val="en-US" w:eastAsia="zh-CN"/>
        </w:rPr>
        <w:t>提升基础网络能力，加快推进覆盖全县重点工业园区的5G、工业互联网标识解析二级节点等基础设施建设；推动工业机器人在电石化工、装备制造、多元合金等传统产业领域广泛应用，大力实施工业机器人应用倍增计划，重点改造传统产业原有设备、优化现有工艺方向，围绕上下料、物料搬运、焊接、铸造、出炉、捣炉、检测等劳动强度大、工作环境差、危险系数大的生产环节，加快推进工业机器人的应用。</w:t>
      </w:r>
    </w:p>
    <w:p>
      <w:pPr>
        <w:keepNext w:val="0"/>
        <w:keepLines w:val="0"/>
        <w:pageBreakBefore w:val="0"/>
        <w:kinsoku/>
        <w:wordWrap/>
        <w:overflowPunct/>
        <w:topLinePunct w:val="0"/>
        <w:autoSpaceDE/>
        <w:autoSpaceDN/>
        <w:bidi w:val="0"/>
        <w:adjustRightInd/>
        <w:snapToGrid/>
        <w:spacing w:line="560" w:lineRule="exact"/>
        <w:ind w:firstLine="48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b/>
          <w:bCs/>
          <w:color w:val="auto"/>
          <w:sz w:val="30"/>
          <w:szCs w:val="30"/>
          <w:lang w:val="en-US" w:eastAsia="zh-CN"/>
        </w:rPr>
        <w:t xml:space="preserve"> 分类分层推进智能改造。</w:t>
      </w:r>
      <w:r>
        <w:rPr>
          <w:rFonts w:hint="eastAsia" w:ascii="仿宋_GB2312" w:hAnsi="仿宋_GB2312" w:eastAsia="仿宋_GB2312" w:cs="仿宋_GB2312"/>
          <w:color w:val="auto"/>
          <w:sz w:val="30"/>
          <w:szCs w:val="30"/>
          <w:lang w:val="en-US" w:eastAsia="zh-CN"/>
        </w:rPr>
        <w:t>在装备制造、冶金、化工、新材料等重点行业推广工业互联网应用，推动产业数字化发展，建设一批技术先进、性能优秀、应用效果好的企业级工业互联网平台。重点推广“上云上平台”，推动低成本、模块化工业互联设备和系统的部署应用；瞄准关键环节，整合创新资源，加快推进工业技术软件化，加大工业APP技术攻关，重点开发面向特定行业、特定场景的工业APP，重点培育。</w:t>
      </w:r>
      <w:r>
        <w:rPr>
          <w:rFonts w:hint="eastAsia" w:ascii="仿宋_GB2312" w:hAnsi="仿宋_GB2312" w:eastAsia="仿宋_GB2312" w:cs="仿宋_GB2312"/>
          <w:color w:val="auto"/>
          <w:sz w:val="30"/>
          <w:szCs w:val="30"/>
        </w:rPr>
        <w:t>力争到2025 年，新创建2 家智能工厂，新增工业机器人50 台以上。</w:t>
      </w:r>
    </w:p>
    <w:p>
      <w:pPr>
        <w:pStyle w:val="3"/>
        <w:pageBreakBefore w:val="0"/>
        <w:kinsoku/>
        <w:wordWrap/>
        <w:overflowPunct/>
        <w:topLinePunct w:val="0"/>
        <w:autoSpaceDE/>
        <w:autoSpaceDN/>
        <w:bidi w:val="0"/>
        <w:spacing w:line="560" w:lineRule="exact"/>
        <w:jc w:val="center"/>
        <w:textAlignment w:val="auto"/>
        <w:rPr>
          <w:rFonts w:hint="eastAsia" w:ascii="宋体" w:hAnsi="宋体" w:eastAsia="宋体" w:cs="宋体"/>
          <w:color w:val="auto"/>
          <w:sz w:val="32"/>
          <w:szCs w:val="32"/>
          <w:lang w:val="en-US" w:eastAsia="zh-CN"/>
        </w:rPr>
      </w:pPr>
      <w:bookmarkStart w:id="229" w:name="_Toc1431"/>
      <w:bookmarkStart w:id="230" w:name="_Toc9051"/>
    </w:p>
    <w:p>
      <w:pPr>
        <w:pStyle w:val="3"/>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val="0"/>
          <w:bCs w:val="0"/>
          <w:color w:val="auto"/>
          <w:sz w:val="32"/>
          <w:szCs w:val="32"/>
          <w:lang w:val="en-US" w:eastAsia="zh-CN"/>
        </w:rPr>
      </w:pPr>
      <w:bookmarkStart w:id="231" w:name="_Toc647093235"/>
      <w:bookmarkStart w:id="232" w:name="_Toc10111"/>
      <w:bookmarkStart w:id="233" w:name="_Toc3781"/>
      <w:r>
        <w:rPr>
          <w:rFonts w:hint="eastAsia" w:ascii="黑体" w:hAnsi="黑体" w:eastAsia="黑体" w:cs="黑体"/>
          <w:b w:val="0"/>
          <w:bCs w:val="0"/>
          <w:color w:val="auto"/>
          <w:sz w:val="32"/>
          <w:szCs w:val="32"/>
          <w:lang w:val="en-US" w:eastAsia="zh-CN"/>
        </w:rPr>
        <w:t>第六章  夯实支撑体系</w:t>
      </w:r>
      <w:bookmarkEnd w:id="229"/>
      <w:bookmarkEnd w:id="230"/>
      <w:bookmarkEnd w:id="231"/>
      <w:bookmarkEnd w:id="232"/>
      <w:bookmarkEnd w:id="233"/>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“十四五”期间，通过加强和完善土地、能源、交通、投入、人才等支撑体系建设，为工业和信息化发展提供有力保障。</w:t>
      </w:r>
    </w:p>
    <w:p>
      <w:pPr>
        <w:pStyle w:val="4"/>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 w:hAnsi="楷体" w:eastAsia="楷体" w:cs="楷体"/>
          <w:color w:val="auto"/>
          <w:sz w:val="32"/>
          <w:szCs w:val="32"/>
          <w:lang w:val="en-US" w:eastAsia="zh-CN"/>
        </w:rPr>
      </w:pPr>
      <w:bookmarkStart w:id="234" w:name="_Toc15607"/>
      <w:bookmarkStart w:id="235" w:name="_Toc5425"/>
      <w:bookmarkStart w:id="236" w:name="_Toc986593132"/>
      <w:bookmarkStart w:id="237" w:name="_Toc17702"/>
      <w:bookmarkStart w:id="238" w:name="_Toc11553"/>
      <w:bookmarkStart w:id="239" w:name="_Toc12814"/>
      <w:bookmarkStart w:id="240" w:name="_Toc1041"/>
      <w:r>
        <w:rPr>
          <w:rFonts w:hint="eastAsia" w:ascii="楷体" w:hAnsi="楷体" w:eastAsia="楷体" w:cs="楷体"/>
          <w:color w:val="auto"/>
          <w:sz w:val="32"/>
          <w:szCs w:val="32"/>
          <w:lang w:val="en-US" w:eastAsia="zh-CN"/>
        </w:rPr>
        <w:t>一、土地利用支撑</w:t>
      </w:r>
      <w:bookmarkEnd w:id="234"/>
      <w:bookmarkEnd w:id="235"/>
      <w:bookmarkEnd w:id="236"/>
      <w:bookmarkEnd w:id="237"/>
      <w:bookmarkEnd w:id="238"/>
      <w:bookmarkEnd w:id="239"/>
      <w:bookmarkEnd w:id="240"/>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按照保障供地、集约用地、加强管理的原则，统筹安排工业用地，提高集约化水平，增加土地有效供给，切实保障工业发展用地。</w:t>
      </w:r>
    </w:p>
    <w:p>
      <w:pPr>
        <w:pStyle w:val="5"/>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color w:val="auto"/>
          <w:sz w:val="32"/>
          <w:szCs w:val="32"/>
          <w:lang w:val="en-US" w:eastAsia="zh-CN"/>
        </w:rPr>
      </w:pPr>
      <w:bookmarkStart w:id="241" w:name="_Toc25411"/>
      <w:bookmarkStart w:id="242" w:name="_Toc1191"/>
      <w:bookmarkStart w:id="243" w:name="_Toc1845831910"/>
      <w:r>
        <w:rPr>
          <w:rFonts w:hint="eastAsia" w:ascii="仿宋" w:hAnsi="仿宋" w:eastAsia="仿宋" w:cs="仿宋"/>
          <w:color w:val="auto"/>
          <w:sz w:val="32"/>
          <w:szCs w:val="32"/>
          <w:lang w:val="en-US" w:eastAsia="zh-CN"/>
        </w:rPr>
        <w:t>(一)保障工业用地</w:t>
      </w:r>
      <w:bookmarkEnd w:id="241"/>
      <w:bookmarkEnd w:id="242"/>
      <w:bookmarkEnd w:id="243"/>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加大建设用地调控力度，优先保障工业用地，确保工业用地向工业园区倾斜。积极争取重点项目列入自治区项目，使用自治区用地计划指标。积极开展园区低效未利用土地处置工作，为工业发展提供土地保障。</w:t>
      </w:r>
    </w:p>
    <w:p>
      <w:pPr>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textAlignment w:val="auto"/>
        <w:outlineLvl w:val="2"/>
        <w:rPr>
          <w:rStyle w:val="25"/>
          <w:rFonts w:hint="eastAsia" w:ascii="仿宋" w:hAnsi="仿宋" w:eastAsia="仿宋" w:cs="仿宋"/>
          <w:color w:val="auto"/>
          <w:lang w:val="en-US" w:eastAsia="zh-CN"/>
        </w:rPr>
      </w:pPr>
      <w:bookmarkStart w:id="244" w:name="_Toc9266"/>
      <w:bookmarkStart w:id="245" w:name="_Toc788706097"/>
      <w:bookmarkStart w:id="246" w:name="_Toc11308"/>
      <w:r>
        <w:rPr>
          <w:rStyle w:val="25"/>
          <w:rFonts w:hint="eastAsia" w:ascii="仿宋" w:hAnsi="仿宋" w:eastAsia="仿宋" w:cs="仿宋"/>
          <w:lang w:val="en-US" w:eastAsia="zh-CN"/>
        </w:rPr>
        <w:t>(二)</w:t>
      </w:r>
      <w:r>
        <w:rPr>
          <w:rStyle w:val="25"/>
          <w:rFonts w:hint="eastAsia" w:ascii="仿宋" w:hAnsi="仿宋" w:eastAsia="仿宋" w:cs="仿宋"/>
          <w:color w:val="auto"/>
          <w:lang w:val="en-US" w:eastAsia="zh-CN"/>
        </w:rPr>
        <w:t>提高用地集约化水平研究、制定及落实</w:t>
      </w:r>
      <w:bookmarkEnd w:id="244"/>
      <w:bookmarkEnd w:id="245"/>
      <w:bookmarkEnd w:id="246"/>
      <w:r>
        <w:rPr>
          <w:rStyle w:val="25"/>
          <w:rFonts w:hint="eastAsia" w:ascii="仿宋" w:hAnsi="仿宋" w:eastAsia="仿宋" w:cs="仿宋"/>
          <w:color w:val="auto"/>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0" w:firstLineChars="20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按照国家、自治区有关要求，适当提高园区工业用地投资强度，提高单位工业用地产出率。通过</w:t>
      </w:r>
      <w:r>
        <w:rPr>
          <w:rFonts w:hint="eastAsia" w:ascii="仿宋_GB2312" w:hAnsi="仿宋_GB2312" w:eastAsia="仿宋_GB2312" w:cs="仿宋_GB2312"/>
          <w:b w:val="0"/>
          <w:bCs w:val="0"/>
          <w:color w:val="auto"/>
          <w:sz w:val="30"/>
          <w:szCs w:val="30"/>
          <w:lang w:val="en-US" w:eastAsia="zh-CN"/>
        </w:rPr>
        <w:t>盘活闲置土地，整合低效用地，推动工业用地资源的二次配置。</w:t>
      </w:r>
      <w:r>
        <w:rPr>
          <w:rFonts w:hint="eastAsia" w:ascii="仿宋_GB2312" w:hAnsi="仿宋_GB2312" w:eastAsia="仿宋_GB2312" w:cs="仿宋_GB2312"/>
          <w:color w:val="auto"/>
          <w:sz w:val="30"/>
          <w:szCs w:val="30"/>
          <w:lang w:val="en-US" w:eastAsia="zh-CN"/>
        </w:rPr>
        <w:t>鼓励和支持开发建设使用工业标准厂房，引导各类投资主体参与标准厂房的投资、建设、管理和经营。</w:t>
      </w:r>
    </w:p>
    <w:p>
      <w:pPr>
        <w:pStyle w:val="4"/>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 w:hAnsi="楷体" w:eastAsia="楷体" w:cs="楷体"/>
          <w:color w:val="auto"/>
          <w:sz w:val="32"/>
          <w:szCs w:val="32"/>
          <w:lang w:val="en-US" w:eastAsia="zh-CN"/>
        </w:rPr>
      </w:pPr>
      <w:bookmarkStart w:id="247" w:name="_Toc32365"/>
      <w:bookmarkStart w:id="248" w:name="_Toc13170"/>
      <w:bookmarkStart w:id="249" w:name="_Toc29975"/>
      <w:bookmarkStart w:id="250" w:name="_Toc660740067"/>
      <w:bookmarkStart w:id="251" w:name="_Toc23502"/>
      <w:bookmarkStart w:id="252" w:name="_Toc29960"/>
      <w:bookmarkStart w:id="253" w:name="_Toc29367"/>
      <w:r>
        <w:rPr>
          <w:rFonts w:hint="eastAsia" w:ascii="楷体" w:hAnsi="楷体" w:eastAsia="楷体" w:cs="楷体"/>
          <w:color w:val="auto"/>
          <w:sz w:val="32"/>
          <w:szCs w:val="32"/>
          <w:lang w:val="en-US" w:eastAsia="zh-CN"/>
        </w:rPr>
        <w:t>二、能源供给支撑</w:t>
      </w:r>
      <w:bookmarkEnd w:id="247"/>
      <w:bookmarkEnd w:id="248"/>
      <w:bookmarkEnd w:id="249"/>
      <w:bookmarkEnd w:id="250"/>
      <w:bookmarkEnd w:id="251"/>
      <w:bookmarkEnd w:id="252"/>
      <w:bookmarkEnd w:id="253"/>
    </w:p>
    <w:p>
      <w:pPr>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按照优化结构、互相补充的要求，合理开发利用电力、油气、煤炭等能源资源，坚持电网与电源协调发展，坚持能源开发与节约并重，构建稳固可靠地能源保障体系。</w:t>
      </w:r>
    </w:p>
    <w:p>
      <w:pPr>
        <w:pStyle w:val="5"/>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color w:val="auto"/>
          <w:sz w:val="32"/>
          <w:szCs w:val="32"/>
          <w:lang w:val="en-US" w:eastAsia="zh-CN"/>
        </w:rPr>
      </w:pPr>
      <w:bookmarkStart w:id="254" w:name="_Toc32049"/>
      <w:bookmarkStart w:id="255" w:name="_Toc31112"/>
      <w:bookmarkStart w:id="256" w:name="_Toc1058360919"/>
      <w:r>
        <w:rPr>
          <w:rFonts w:hint="eastAsia" w:ascii="仿宋" w:hAnsi="仿宋" w:eastAsia="仿宋" w:cs="仿宋"/>
          <w:color w:val="auto"/>
          <w:sz w:val="32"/>
          <w:szCs w:val="32"/>
          <w:lang w:val="en-US" w:eastAsia="zh-CN"/>
        </w:rPr>
        <w:t>(一)完善电网建设</w:t>
      </w:r>
      <w:bookmarkEnd w:id="254"/>
      <w:bookmarkEnd w:id="255"/>
      <w:bookmarkEnd w:id="256"/>
    </w:p>
    <w:p>
      <w:pPr>
        <w:keepNext w:val="0"/>
        <w:keepLines w:val="0"/>
        <w:pageBreakBefore w:val="0"/>
        <w:widowControl w:val="0"/>
        <w:kinsoku/>
        <w:wordWrap/>
        <w:overflowPunct/>
        <w:topLinePunct w:val="0"/>
        <w:autoSpaceDE/>
        <w:autoSpaceDN/>
        <w:bidi w:val="0"/>
        <w:adjustRightInd/>
        <w:snapToGrid/>
        <w:spacing w:line="560" w:lineRule="exact"/>
        <w:ind w:left="0" w:leftChars="0" w:firstLine="600" w:firstLineChars="200"/>
        <w:jc w:val="both"/>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b w:val="0"/>
          <w:bCs w:val="0"/>
          <w:color w:val="auto"/>
          <w:sz w:val="30"/>
          <w:szCs w:val="30"/>
          <w:lang w:val="en-US" w:eastAsia="zh-CN"/>
        </w:rPr>
        <w:t>推动配电网高质量发展，持续完善电网主网架，优化电网布局，提升配网线路及设备的供电容量和供电可靠性。加快智慧电网建设，建设智能变电站、智能配电房、智能巡检等，推广应用智能电表，推进配电网终端智能化改造；探索“5G+智慧电力”融合模式，多方联合共同推动5G在智能电网应用，提高电网智能化水平。推进电动汽车充电设施布局，依托加油站、公交站场桩，构建车桩相随、智能高效的充电基础设施体系。</w:t>
      </w:r>
    </w:p>
    <w:p>
      <w:pPr>
        <w:pStyle w:val="5"/>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textAlignment w:val="auto"/>
        <w:rPr>
          <w:rFonts w:hint="eastAsia" w:ascii="仿宋" w:hAnsi="仿宋" w:eastAsia="仿宋" w:cs="仿宋"/>
          <w:color w:val="auto"/>
          <w:sz w:val="32"/>
          <w:szCs w:val="32"/>
          <w:lang w:val="en-US" w:eastAsia="zh-CN"/>
        </w:rPr>
      </w:pPr>
      <w:bookmarkStart w:id="257" w:name="_Toc105026392"/>
      <w:bookmarkStart w:id="258" w:name="_Toc15784"/>
      <w:bookmarkStart w:id="259" w:name="_Toc13770"/>
      <w:r>
        <w:rPr>
          <w:rFonts w:hint="eastAsia" w:ascii="仿宋" w:hAnsi="仿宋" w:eastAsia="仿宋" w:cs="仿宋"/>
          <w:color w:val="auto"/>
          <w:sz w:val="32"/>
          <w:szCs w:val="32"/>
          <w:lang w:val="en-US" w:eastAsia="zh-CN"/>
        </w:rPr>
        <w:t>(二)加强用电管理</w:t>
      </w:r>
      <w:bookmarkEnd w:id="257"/>
      <w:bookmarkEnd w:id="258"/>
      <w:bookmarkEnd w:id="259"/>
    </w:p>
    <w:p>
      <w:pPr>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仿宋_GB2312" w:hAnsi="仿宋_GB2312" w:eastAsia="仿宋_GB2312" w:cs="仿宋_GB2312"/>
          <w:color w:val="auto"/>
          <w:sz w:val="30"/>
          <w:szCs w:val="30"/>
          <w:lang w:val="en-US" w:eastAsia="zh-CN"/>
        </w:rPr>
      </w:pPr>
      <w:bookmarkStart w:id="260" w:name="_Toc3626"/>
      <w:bookmarkStart w:id="261" w:name="_Toc27061"/>
      <w:bookmarkStart w:id="262" w:name="_Toc10531"/>
      <w:bookmarkStart w:id="263" w:name="_Toc10793"/>
      <w:bookmarkStart w:id="264" w:name="_Toc2871"/>
      <w:bookmarkStart w:id="265" w:name="_Toc6480"/>
      <w:r>
        <w:rPr>
          <w:rFonts w:hint="eastAsia" w:ascii="仿宋_GB2312" w:hAnsi="仿宋_GB2312" w:eastAsia="仿宋_GB2312" w:cs="仿宋_GB2312"/>
          <w:color w:val="auto"/>
          <w:sz w:val="30"/>
          <w:szCs w:val="30"/>
          <w:lang w:val="en-US" w:eastAsia="zh-CN"/>
        </w:rPr>
        <w:t>加大对高能耗产业的调控力度，运用峰谷分时电价和必要的行政措施，合理调节电力供求关系，实现有序用电，错峰避峰和节能。加强能源节约和合理利用，研究开发及推广先进能源利用和节约技术，制定和执行相关的节能政策和措施，建立节能专项基金，提高能源利用效率，减轻能源供给压力。</w:t>
      </w:r>
      <w:bookmarkEnd w:id="260"/>
      <w:bookmarkEnd w:id="261"/>
      <w:bookmarkEnd w:id="262"/>
      <w:bookmarkEnd w:id="263"/>
      <w:bookmarkEnd w:id="264"/>
      <w:bookmarkEnd w:id="265"/>
    </w:p>
    <w:p>
      <w:pPr>
        <w:pStyle w:val="5"/>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color w:val="auto"/>
          <w:sz w:val="32"/>
          <w:szCs w:val="32"/>
          <w:lang w:val="en-US" w:eastAsia="zh-CN"/>
        </w:rPr>
      </w:pPr>
      <w:bookmarkStart w:id="266" w:name="_Toc1398660535"/>
      <w:bookmarkStart w:id="267" w:name="_Toc22394"/>
      <w:bookmarkStart w:id="268" w:name="_Toc11778"/>
      <w:r>
        <w:rPr>
          <w:rFonts w:hint="eastAsia" w:ascii="仿宋" w:hAnsi="仿宋" w:eastAsia="仿宋" w:cs="仿宋"/>
          <w:color w:val="auto"/>
          <w:sz w:val="32"/>
          <w:szCs w:val="32"/>
          <w:lang w:val="en-US" w:eastAsia="zh-CN"/>
        </w:rPr>
        <w:t>(三)加快燃气管网设施建设</w:t>
      </w:r>
      <w:bookmarkEnd w:id="266"/>
      <w:bookmarkEnd w:id="267"/>
      <w:bookmarkEnd w:id="268"/>
    </w:p>
    <w:p>
      <w:pPr>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加快天燃气主干管网及储配站、接收门站、调压站等相应</w:t>
      </w:r>
    </w:p>
    <w:p>
      <w:pPr>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输配设施建设，建设平罗天然气支线管道工程项目，提高工业企业，尤其是崇岗工业园区和精细化工园区用气保障。</w:t>
      </w:r>
    </w:p>
    <w:p>
      <w:pPr>
        <w:pStyle w:val="4"/>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 w:hAnsi="楷体" w:eastAsia="楷体" w:cs="楷体"/>
          <w:color w:val="auto"/>
          <w:sz w:val="32"/>
          <w:szCs w:val="32"/>
          <w:lang w:val="en-US" w:eastAsia="zh-CN"/>
        </w:rPr>
      </w:pPr>
      <w:bookmarkStart w:id="269" w:name="_Toc13494"/>
      <w:bookmarkStart w:id="270" w:name="_Toc12236"/>
      <w:bookmarkStart w:id="271" w:name="_Toc4967"/>
      <w:bookmarkStart w:id="272" w:name="_Toc5492"/>
      <w:bookmarkStart w:id="273" w:name="_Toc19488"/>
      <w:bookmarkStart w:id="274" w:name="_Toc320981544"/>
      <w:bookmarkStart w:id="275" w:name="_Toc1176"/>
      <w:r>
        <w:rPr>
          <w:rFonts w:hint="eastAsia" w:ascii="楷体" w:hAnsi="楷体" w:eastAsia="楷体" w:cs="楷体"/>
          <w:color w:val="auto"/>
          <w:sz w:val="32"/>
          <w:szCs w:val="32"/>
          <w:lang w:val="en-US" w:eastAsia="zh-CN"/>
        </w:rPr>
        <w:t>三、交通保障支撑</w:t>
      </w:r>
      <w:bookmarkEnd w:id="269"/>
      <w:bookmarkEnd w:id="270"/>
      <w:bookmarkEnd w:id="271"/>
      <w:bookmarkEnd w:id="272"/>
      <w:bookmarkEnd w:id="273"/>
      <w:bookmarkEnd w:id="274"/>
      <w:bookmarkEnd w:id="275"/>
    </w:p>
    <w:p>
      <w:pPr>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以运输通畅为目标，以降低物流成本、提高综合运输整体效率为重点，全面推进铁路、公路、和县内交通等多种运输方式的无缝连接建设，努力将平罗建设成为宁夏区域性交通运输枢纽，为工业和信息化发展提供物流优势支持。</w:t>
      </w:r>
    </w:p>
    <w:p>
      <w:pPr>
        <w:pStyle w:val="4"/>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 w:hAnsi="楷体" w:eastAsia="楷体" w:cs="楷体"/>
          <w:color w:val="auto"/>
          <w:sz w:val="32"/>
          <w:szCs w:val="32"/>
          <w:lang w:val="en-US" w:eastAsia="zh-CN"/>
        </w:rPr>
      </w:pPr>
      <w:bookmarkStart w:id="276" w:name="_Toc435269693"/>
      <w:bookmarkStart w:id="277" w:name="_Toc16149"/>
      <w:bookmarkStart w:id="278" w:name="_Toc27366"/>
      <w:bookmarkStart w:id="279" w:name="_Toc7375"/>
      <w:bookmarkStart w:id="280" w:name="_Toc13277"/>
      <w:bookmarkStart w:id="281" w:name="_Toc15162"/>
      <w:bookmarkStart w:id="282" w:name="_Toc31058"/>
      <w:r>
        <w:rPr>
          <w:rFonts w:hint="eastAsia" w:ascii="楷体" w:hAnsi="楷体" w:eastAsia="楷体" w:cs="楷体"/>
          <w:color w:val="auto"/>
          <w:sz w:val="32"/>
          <w:szCs w:val="32"/>
          <w:lang w:val="en-US" w:eastAsia="zh-CN"/>
        </w:rPr>
        <w:t>四、财政金融支撑</w:t>
      </w:r>
      <w:bookmarkEnd w:id="276"/>
      <w:bookmarkEnd w:id="277"/>
      <w:bookmarkEnd w:id="278"/>
      <w:bookmarkEnd w:id="279"/>
      <w:bookmarkEnd w:id="280"/>
      <w:bookmarkEnd w:id="281"/>
      <w:bookmarkEnd w:id="282"/>
    </w:p>
    <w:p>
      <w:pPr>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充分发挥市场的主导作用、政府的引导作用和企业的投资主体作用，多元化开辟融资渠道，着力优化投资结构和投资环境，为工业项目建设提供资金保障。</w:t>
      </w:r>
    </w:p>
    <w:p>
      <w:pPr>
        <w:pStyle w:val="5"/>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color w:val="auto"/>
          <w:sz w:val="32"/>
          <w:szCs w:val="32"/>
          <w:lang w:val="en-US" w:eastAsia="zh-CN"/>
        </w:rPr>
      </w:pPr>
      <w:bookmarkStart w:id="283" w:name="_Toc1546965530"/>
      <w:bookmarkStart w:id="284" w:name="_Toc31998"/>
      <w:bookmarkStart w:id="285" w:name="_Toc29049"/>
      <w:r>
        <w:rPr>
          <w:rFonts w:hint="eastAsia" w:ascii="仿宋" w:hAnsi="仿宋" w:eastAsia="仿宋" w:cs="仿宋"/>
          <w:color w:val="auto"/>
          <w:sz w:val="32"/>
          <w:szCs w:val="32"/>
          <w:lang w:val="en-US" w:eastAsia="zh-CN"/>
        </w:rPr>
        <w:t>(一)加强对企业融资的服务与协调</w:t>
      </w:r>
      <w:bookmarkEnd w:id="283"/>
      <w:bookmarkEnd w:id="284"/>
      <w:bookmarkEnd w:id="285"/>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加强政府与金融部门的沟通合作，大力推进银企合作，积极向银行推荐具有良好经济效益和社会效益、还债能力强的重点项目，争取更多信贷资金支持。推动建立多种融资平台，充分利用国内外资本市场，通过发行股票、债券、可转债、再融资和股权转让等形式，扩大直接融资。整合信用担保资源，扶持发展中小企业担保机构，争取银行加大对中小企业的信贷支持。</w:t>
      </w:r>
    </w:p>
    <w:p>
      <w:pPr>
        <w:pStyle w:val="5"/>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textAlignment w:val="auto"/>
        <w:rPr>
          <w:rFonts w:hint="eastAsia" w:ascii="仿宋" w:hAnsi="仿宋" w:eastAsia="仿宋" w:cs="仿宋"/>
          <w:color w:val="auto"/>
          <w:sz w:val="32"/>
          <w:szCs w:val="32"/>
          <w:lang w:val="en-US" w:eastAsia="zh-CN"/>
        </w:rPr>
      </w:pPr>
      <w:bookmarkStart w:id="286" w:name="_Toc11182"/>
      <w:bookmarkStart w:id="287" w:name="_Toc1925624075"/>
      <w:bookmarkStart w:id="288" w:name="_Toc32423"/>
      <w:r>
        <w:rPr>
          <w:rFonts w:hint="eastAsia" w:ascii="仿宋" w:hAnsi="仿宋" w:eastAsia="仿宋" w:cs="仿宋"/>
          <w:color w:val="auto"/>
          <w:sz w:val="32"/>
          <w:szCs w:val="32"/>
          <w:lang w:val="en-US" w:eastAsia="zh-CN"/>
        </w:rPr>
        <w:t>(二)</w:t>
      </w:r>
      <w:r>
        <w:rPr>
          <w:rFonts w:hint="eastAsia" w:ascii="仿宋" w:hAnsi="仿宋" w:eastAsia="仿宋" w:cs="仿宋"/>
          <w:b/>
          <w:bCs/>
          <w:color w:val="auto"/>
          <w:sz w:val="32"/>
          <w:szCs w:val="32"/>
          <w:lang w:val="en-US" w:eastAsia="zh-CN"/>
        </w:rPr>
        <w:t>积极争取上级专项资金扶持</w:t>
      </w:r>
      <w:bookmarkEnd w:id="286"/>
      <w:bookmarkEnd w:id="287"/>
      <w:bookmarkEnd w:id="288"/>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积极争取和充分利用国债、国家及自治区各种专项资金、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工业结构调整及重大装备国产化专项资金，积极寻求国家开发银行支持工业经济发展的新途径、新机制。</w:t>
      </w:r>
    </w:p>
    <w:p>
      <w:pPr>
        <w:pStyle w:val="5"/>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color w:val="auto"/>
          <w:sz w:val="32"/>
          <w:szCs w:val="32"/>
          <w:lang w:val="en-US" w:eastAsia="zh-CN"/>
        </w:rPr>
      </w:pPr>
      <w:bookmarkStart w:id="289" w:name="_Toc9367"/>
      <w:bookmarkStart w:id="290" w:name="_Toc4988"/>
      <w:bookmarkStart w:id="291" w:name="_Toc1133283225"/>
      <w:r>
        <w:rPr>
          <w:rFonts w:hint="eastAsia" w:ascii="仿宋" w:hAnsi="仿宋" w:eastAsia="仿宋" w:cs="仿宋"/>
          <w:color w:val="auto"/>
          <w:sz w:val="32"/>
          <w:szCs w:val="32"/>
          <w:lang w:val="en-US" w:eastAsia="zh-CN"/>
        </w:rPr>
        <w:t>(三)加大财政投入力度</w:t>
      </w:r>
      <w:bookmarkEnd w:id="289"/>
      <w:bookmarkEnd w:id="290"/>
      <w:bookmarkEnd w:id="291"/>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0" w:firstLineChars="20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进一步加大财政资金对工业建设项目的支持力度，充分发挥财政资金对社会资金的引导与放大作用，县财政对工业经济发展的扶持资金逐年增长，增幅不低于县级财政经常性收入的增长幅度。以提高投资效益为目标，坚持有所为有所不为，对规划确定的重点行业、重点园区、重点企业和重点产品，县财政资金给予重点支持、优先安排。</w:t>
      </w:r>
    </w:p>
    <w:p>
      <w:pPr>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outlineLvl w:val="1"/>
        <w:rPr>
          <w:rStyle w:val="27"/>
          <w:rFonts w:hint="eastAsia" w:ascii="楷体" w:hAnsi="楷体" w:eastAsia="楷体" w:cs="楷体"/>
          <w:color w:val="auto"/>
          <w:sz w:val="32"/>
          <w:szCs w:val="32"/>
          <w:lang w:val="en-US" w:eastAsia="zh-CN"/>
        </w:rPr>
      </w:pPr>
      <w:bookmarkStart w:id="292" w:name="_Toc25492"/>
      <w:bookmarkStart w:id="293" w:name="_Toc1153169694"/>
      <w:bookmarkStart w:id="294" w:name="_Toc4832"/>
      <w:bookmarkStart w:id="295" w:name="_Toc25551"/>
      <w:bookmarkStart w:id="296" w:name="_Toc4038"/>
      <w:bookmarkStart w:id="297" w:name="_Toc6695"/>
      <w:bookmarkStart w:id="298" w:name="_Toc25282"/>
      <w:r>
        <w:rPr>
          <w:rStyle w:val="27"/>
          <w:rFonts w:hint="eastAsia" w:ascii="楷体" w:hAnsi="楷体" w:eastAsia="楷体" w:cs="楷体"/>
          <w:color w:val="auto"/>
          <w:sz w:val="32"/>
          <w:szCs w:val="32"/>
          <w:lang w:val="en-US" w:eastAsia="zh-CN"/>
        </w:rPr>
        <w:t>五、人才保障支撑</w:t>
      </w:r>
      <w:bookmarkEnd w:id="292"/>
      <w:bookmarkEnd w:id="293"/>
      <w:bookmarkEnd w:id="294"/>
    </w:p>
    <w:bookmarkEnd w:id="295"/>
    <w:bookmarkEnd w:id="296"/>
    <w:bookmarkEnd w:id="297"/>
    <w:bookmarkEnd w:id="298"/>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eastAsia" w:ascii="仿宋_GB2312" w:hAnsi="仿宋_GB2312" w:eastAsia="仿宋_GB2312" w:cs="仿宋_GB2312"/>
          <w:color w:val="auto"/>
          <w:sz w:val="32"/>
          <w:szCs w:val="32"/>
          <w:lang w:val="en-US" w:eastAsia="zh-CN"/>
        </w:rPr>
      </w:pPr>
      <w:bookmarkStart w:id="299" w:name="_Toc6165"/>
      <w:bookmarkStart w:id="300" w:name="_Toc4274"/>
      <w:bookmarkStart w:id="301" w:name="_Toc30726"/>
      <w:bookmarkStart w:id="302" w:name="_Toc7573"/>
      <w:bookmarkStart w:id="303" w:name="_Toc19269"/>
      <w:bookmarkStart w:id="304" w:name="_Toc28587"/>
      <w:r>
        <w:rPr>
          <w:rFonts w:hint="eastAsia" w:ascii="仿宋_GB2312" w:hAnsi="仿宋_GB2312" w:eastAsia="仿宋_GB2312" w:cs="仿宋_GB2312"/>
          <w:color w:val="auto"/>
          <w:sz w:val="30"/>
          <w:szCs w:val="30"/>
          <w:lang w:val="en-US" w:eastAsia="zh-CN"/>
        </w:rPr>
        <w:t>坚持以人为本，</w:t>
      </w:r>
      <w:bookmarkEnd w:id="299"/>
      <w:bookmarkEnd w:id="300"/>
      <w:bookmarkEnd w:id="301"/>
      <w:bookmarkEnd w:id="302"/>
      <w:bookmarkEnd w:id="303"/>
      <w:bookmarkEnd w:id="304"/>
      <w:r>
        <w:rPr>
          <w:rFonts w:hint="eastAsia" w:ascii="仿宋_GB2312" w:hAnsi="仿宋_GB2312" w:eastAsia="仿宋_GB2312" w:cs="仿宋_GB2312"/>
          <w:color w:val="auto"/>
          <w:sz w:val="30"/>
          <w:szCs w:val="30"/>
          <w:lang w:val="en-US" w:eastAsia="zh-CN"/>
        </w:rPr>
        <w:t>协调发展，重在素质的原则，紧紧抓住人才引进、培养和使用三个环节，突出工业企业家人才、企业经营管理人才、专业技术人才和高技能人才四个重点，建设结构合理、素质优良的工业人才队伍，为平罗工业经济发展提供强有力的人才支撑。</w:t>
      </w:r>
    </w:p>
    <w:p>
      <w:pPr>
        <w:pStyle w:val="5"/>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color w:val="auto"/>
          <w:sz w:val="32"/>
          <w:szCs w:val="32"/>
          <w:lang w:val="en-US" w:eastAsia="zh-CN"/>
        </w:rPr>
      </w:pPr>
      <w:bookmarkStart w:id="305" w:name="_Toc618644379"/>
      <w:bookmarkStart w:id="306" w:name="_Toc17703"/>
      <w:bookmarkStart w:id="307" w:name="_Toc15474"/>
      <w:r>
        <w:rPr>
          <w:rFonts w:hint="eastAsia" w:ascii="仿宋" w:hAnsi="仿宋" w:eastAsia="仿宋" w:cs="仿宋"/>
          <w:color w:val="auto"/>
          <w:sz w:val="32"/>
          <w:szCs w:val="32"/>
          <w:lang w:val="en-US" w:eastAsia="zh-CN"/>
        </w:rPr>
        <w:t>(一)建立一支优秀的企业家队伍</w:t>
      </w:r>
      <w:bookmarkEnd w:id="305"/>
      <w:bookmarkEnd w:id="306"/>
      <w:bookmarkEnd w:id="307"/>
    </w:p>
    <w:p>
      <w:pPr>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努力营造有利企业家健康成长的良好社会环境，通过有计划有目的地培训、进修、挂职锻炼、考察学习等手段，全面提高企业家综合素质能力，造就一批高素质、高能力、高水平的优秀企业家。加强对企业家后备人才的选拔培养，拓宽选人视野和渠道，切实把政治素质好、工作责任心强、群众威信高、懂经营、会管理的优秀年轻人才纳入到企业家后备队伍中，通过提高其思想理论水平和经营处理才能，使之逐步具备驾驭企业全局的能力。通过努力，形成梯次型的企业家后备人选人才库，为平罗企业家队伍的壮大奠定基础。</w:t>
      </w:r>
    </w:p>
    <w:p>
      <w:pPr>
        <w:pageBreakBefore w:val="0"/>
        <w:widowControl w:val="0"/>
        <w:numPr>
          <w:ilvl w:val="0"/>
          <w:numId w:val="0"/>
        </w:numPr>
        <w:kinsoku/>
        <w:wordWrap/>
        <w:overflowPunct/>
        <w:topLinePunct w:val="0"/>
        <w:autoSpaceDE/>
        <w:autoSpaceDN/>
        <w:bidi w:val="0"/>
        <w:adjustRightInd/>
        <w:snapToGrid/>
        <w:spacing w:line="560" w:lineRule="exact"/>
        <w:ind w:left="-197" w:leftChars="-94" w:firstLine="842" w:firstLineChars="262"/>
        <w:textAlignment w:val="auto"/>
        <w:rPr>
          <w:rStyle w:val="25"/>
          <w:rFonts w:hint="eastAsia" w:ascii="仿宋" w:hAnsi="仿宋" w:eastAsia="仿宋" w:cs="仿宋"/>
          <w:color w:val="auto"/>
          <w:sz w:val="32"/>
          <w:szCs w:val="32"/>
          <w:lang w:val="en-US" w:eastAsia="zh-CN"/>
        </w:rPr>
      </w:pPr>
      <w:bookmarkStart w:id="308" w:name="_Toc24153"/>
      <w:bookmarkStart w:id="309" w:name="_Toc14228"/>
      <w:bookmarkStart w:id="310" w:name="_Toc1724739695"/>
      <w:r>
        <w:rPr>
          <w:rStyle w:val="25"/>
          <w:rFonts w:hint="eastAsia" w:ascii="仿宋" w:hAnsi="仿宋" w:eastAsia="仿宋" w:cs="仿宋"/>
          <w:lang w:val="en-US" w:eastAsia="zh-CN"/>
        </w:rPr>
        <w:t>(二)</w:t>
      </w:r>
      <w:r>
        <w:rPr>
          <w:rStyle w:val="25"/>
          <w:rFonts w:hint="eastAsia" w:ascii="仿宋" w:hAnsi="仿宋" w:eastAsia="仿宋" w:cs="仿宋"/>
          <w:color w:val="auto"/>
          <w:sz w:val="32"/>
          <w:szCs w:val="32"/>
          <w:lang w:val="en-US" w:eastAsia="zh-CN"/>
        </w:rPr>
        <w:t>建立一支优秀的企业经营管理人才队伍</w:t>
      </w:r>
    </w:p>
    <w:bookmarkEnd w:id="308"/>
    <w:bookmarkEnd w:id="309"/>
    <w:bookmarkEnd w:id="310"/>
    <w:p>
      <w:pPr>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left"/>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制定企业经营管理人才成长计划，整合社会资源，采取集中培训、区内外培训相结合等多种方式进行强化培训，着力提高经营管理人才的战略决策能力、经营管理能力、市场竞争能力、推动企业创新能力和应对复杂局面能力，形成政府支持、引导与鼓励，社会各界积极参与的经营管理人才培养体系。</w:t>
      </w:r>
    </w:p>
    <w:p>
      <w:pPr>
        <w:pageBreakBefore w:val="0"/>
        <w:widowControl w:val="0"/>
        <w:numPr>
          <w:ilvl w:val="0"/>
          <w:numId w:val="0"/>
        </w:numPr>
        <w:kinsoku/>
        <w:wordWrap/>
        <w:overflowPunct/>
        <w:topLinePunct w:val="0"/>
        <w:autoSpaceDE/>
        <w:autoSpaceDN/>
        <w:bidi w:val="0"/>
        <w:adjustRightInd/>
        <w:snapToGrid/>
        <w:spacing w:line="560" w:lineRule="exact"/>
        <w:ind w:left="0" w:leftChars="0" w:firstLine="643" w:firstLineChars="200"/>
        <w:jc w:val="left"/>
        <w:textAlignment w:val="auto"/>
        <w:outlineLvl w:val="2"/>
        <w:rPr>
          <w:rStyle w:val="25"/>
          <w:rFonts w:hint="eastAsia" w:ascii="仿宋" w:hAnsi="仿宋" w:eastAsia="仿宋" w:cs="仿宋"/>
          <w:color w:val="auto"/>
          <w:lang w:val="en-US" w:eastAsia="zh-CN"/>
        </w:rPr>
      </w:pPr>
      <w:bookmarkStart w:id="311" w:name="_Toc19553"/>
      <w:bookmarkStart w:id="312" w:name="_Toc2086964352"/>
      <w:bookmarkStart w:id="313" w:name="_Toc20842"/>
      <w:r>
        <w:rPr>
          <w:rStyle w:val="25"/>
          <w:rFonts w:hint="eastAsia" w:ascii="仿宋" w:hAnsi="仿宋" w:eastAsia="仿宋" w:cs="仿宋"/>
          <w:lang w:val="en-US" w:eastAsia="zh-CN"/>
        </w:rPr>
        <w:t>(三)</w:t>
      </w:r>
      <w:r>
        <w:rPr>
          <w:rStyle w:val="25"/>
          <w:rFonts w:hint="eastAsia" w:ascii="仿宋" w:hAnsi="仿宋" w:eastAsia="仿宋" w:cs="仿宋"/>
          <w:color w:val="auto"/>
          <w:lang w:val="en-US" w:eastAsia="zh-CN"/>
        </w:rPr>
        <w:t>建立一支优秀的技术创新人才队伍</w:t>
      </w:r>
      <w:bookmarkEnd w:id="311"/>
      <w:bookmarkEnd w:id="312"/>
      <w:bookmarkEnd w:id="313"/>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left"/>
        <w:textAlignment w:val="auto"/>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val="0"/>
          <w:bCs w:val="0"/>
          <w:color w:val="auto"/>
          <w:sz w:val="30"/>
          <w:szCs w:val="30"/>
          <w:lang w:val="en-US" w:eastAsia="zh-CN"/>
        </w:rPr>
        <w:t>突出抓好技术创新人才的引进和培养工作，着力打造一批重大工业产学研项目带头人。组织工业企业到区外重点高校和外地人才市场直接招聘我县紧缺的工业技术创新人才，充分利用自治区、县级人才市场和自治区、县级人才网站与沿海外省区人才网站联网的人才库存信息，广泛招聘工业技术创新性人才。自主培养“本土”创新型人才，加大学术和技术带头人选拔力度，培养外向型、复合型人才。</w:t>
      </w:r>
    </w:p>
    <w:p>
      <w:pPr>
        <w:pStyle w:val="5"/>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color w:val="auto"/>
          <w:sz w:val="32"/>
          <w:szCs w:val="32"/>
          <w:lang w:val="en-US" w:eastAsia="zh-CN"/>
        </w:rPr>
      </w:pPr>
      <w:bookmarkStart w:id="314" w:name="_Toc19689"/>
      <w:bookmarkStart w:id="315" w:name="_Toc14437"/>
      <w:bookmarkStart w:id="316" w:name="_Toc682354734"/>
      <w:r>
        <w:rPr>
          <w:rFonts w:hint="eastAsia" w:ascii="仿宋" w:hAnsi="仿宋" w:eastAsia="仿宋" w:cs="仿宋"/>
          <w:color w:val="auto"/>
          <w:sz w:val="32"/>
          <w:szCs w:val="32"/>
          <w:lang w:val="en-US" w:eastAsia="zh-CN"/>
        </w:rPr>
        <w:t>(四)建立一支优秀的技术工人队伍</w:t>
      </w:r>
      <w:bookmarkEnd w:id="314"/>
      <w:bookmarkEnd w:id="315"/>
      <w:bookmarkEnd w:id="316"/>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大力发展职业教育，以服务支柱产业和主导产业为目标，</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进一步调整职业教育专业结构，提高办学质量，努力适应劳动力市场用工需求，为企业培养大量应用型人才。通过学校教育培养、企业岗位培训、个人自学提高等多种方式，进一步完善高技能人才培训体系建设，在机械、冶金、化工等技术含量高的行业中，培养一批动手能力强、实践经验丰富、科技知识扎实的技工和技师，推进我县技能人才队伍建设。</w:t>
      </w:r>
    </w:p>
    <w:p>
      <w:pPr>
        <w:pStyle w:val="4"/>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 w:hAnsi="楷体" w:eastAsia="楷体" w:cs="楷体"/>
          <w:color w:val="auto"/>
          <w:sz w:val="32"/>
          <w:szCs w:val="32"/>
          <w:lang w:val="en-US" w:eastAsia="zh-CN"/>
        </w:rPr>
      </w:pPr>
      <w:bookmarkStart w:id="317" w:name="_Toc7381"/>
      <w:bookmarkStart w:id="318" w:name="_Toc26932"/>
      <w:bookmarkStart w:id="319" w:name="_Toc13223"/>
      <w:bookmarkStart w:id="320" w:name="_Toc22050"/>
      <w:bookmarkStart w:id="321" w:name="_Toc2048079952"/>
      <w:bookmarkStart w:id="322" w:name="_Toc32606"/>
      <w:bookmarkStart w:id="323" w:name="_Toc6791"/>
      <w:r>
        <w:rPr>
          <w:rFonts w:hint="eastAsia" w:ascii="楷体" w:hAnsi="楷体" w:eastAsia="楷体" w:cs="楷体"/>
          <w:color w:val="auto"/>
          <w:sz w:val="32"/>
          <w:szCs w:val="32"/>
          <w:lang w:val="en-US" w:eastAsia="zh-CN"/>
        </w:rPr>
        <w:t>六、安全生产支撑</w:t>
      </w:r>
      <w:bookmarkEnd w:id="317"/>
      <w:bookmarkEnd w:id="318"/>
      <w:bookmarkEnd w:id="319"/>
      <w:bookmarkEnd w:id="320"/>
      <w:bookmarkEnd w:id="321"/>
      <w:bookmarkEnd w:id="322"/>
      <w:bookmarkEnd w:id="323"/>
    </w:p>
    <w:p>
      <w:pPr>
        <w:pStyle w:val="5"/>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color w:val="auto"/>
          <w:sz w:val="32"/>
          <w:szCs w:val="32"/>
          <w:lang w:val="en-US" w:eastAsia="zh-CN"/>
        </w:rPr>
      </w:pPr>
      <w:bookmarkStart w:id="324" w:name="_Toc14680"/>
      <w:bookmarkStart w:id="325" w:name="_Toc1596602040"/>
      <w:bookmarkStart w:id="326" w:name="_Toc29348"/>
      <w:r>
        <w:rPr>
          <w:rFonts w:hint="eastAsia" w:ascii="仿宋" w:hAnsi="仿宋" w:eastAsia="仿宋" w:cs="仿宋"/>
          <w:color w:val="auto"/>
          <w:sz w:val="32"/>
          <w:szCs w:val="32"/>
          <w:lang w:val="en-US" w:eastAsia="zh-CN"/>
        </w:rPr>
        <w:t>(一)深化隐患整治，消除安全事故隐患</w:t>
      </w:r>
      <w:bookmarkEnd w:id="324"/>
      <w:bookmarkEnd w:id="325"/>
      <w:bookmarkEnd w:id="326"/>
    </w:p>
    <w:p>
      <w:pPr>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要建立并落实安全隐患排查治理制度，定期组织人员排查隐患，进行分类，建立健全隐患信息档案，确保事故隐患整改措施、责任、时限和预案全到位。对逾期未改或整改不合格的，开展综合执法。</w:t>
      </w:r>
    </w:p>
    <w:p>
      <w:pPr>
        <w:pStyle w:val="5"/>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textAlignment w:val="auto"/>
        <w:rPr>
          <w:rFonts w:hint="eastAsia" w:ascii="仿宋" w:hAnsi="仿宋" w:eastAsia="仿宋" w:cs="仿宋"/>
          <w:color w:val="auto"/>
          <w:sz w:val="32"/>
          <w:szCs w:val="32"/>
          <w:lang w:val="en-US" w:eastAsia="zh-CN"/>
        </w:rPr>
      </w:pPr>
      <w:bookmarkStart w:id="327" w:name="_Toc5838"/>
      <w:bookmarkStart w:id="328" w:name="_Toc1517389737"/>
      <w:bookmarkStart w:id="329" w:name="_Toc21357"/>
      <w:r>
        <w:rPr>
          <w:rFonts w:hint="eastAsia" w:ascii="仿宋" w:hAnsi="仿宋" w:eastAsia="仿宋" w:cs="仿宋"/>
          <w:color w:val="auto"/>
          <w:sz w:val="32"/>
          <w:szCs w:val="32"/>
          <w:lang w:val="en-US" w:eastAsia="zh-CN"/>
        </w:rPr>
        <w:t>(二)强化培训教育，提高人员安全意识</w:t>
      </w:r>
      <w:bookmarkEnd w:id="327"/>
      <w:bookmarkEnd w:id="328"/>
      <w:bookmarkEnd w:id="329"/>
    </w:p>
    <w:p>
      <w:pPr>
        <w:pageBreakBefore w:val="0"/>
        <w:widowControl w:val="0"/>
        <w:tabs>
          <w:tab w:val="left" w:pos="928"/>
        </w:tabs>
        <w:kinsoku/>
        <w:wordWrap/>
        <w:overflowPunct/>
        <w:topLinePunct w:val="0"/>
        <w:autoSpaceDE/>
        <w:autoSpaceDN/>
        <w:bidi w:val="0"/>
        <w:adjustRightInd/>
        <w:snapToGrid/>
        <w:spacing w:line="560" w:lineRule="exact"/>
        <w:ind w:firstLine="60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0"/>
          <w:szCs w:val="30"/>
          <w:lang w:val="en-US" w:eastAsia="zh-CN" w:bidi="ar-SA"/>
        </w:rPr>
        <w:t>要按照规定加强新进员工、转岗、换岗人员的安全教育培训，努力提高一线作业人员安全防范意识和安全技能，特别是提高其应急处置自救互救能力，推动企业应急救援预案编制科学规范、演练落实到位，切实提高一线基层安全管理水平。</w:t>
      </w:r>
    </w:p>
    <w:p>
      <w:pPr>
        <w:pStyle w:val="5"/>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textAlignment w:val="auto"/>
        <w:rPr>
          <w:rFonts w:hint="eastAsia" w:ascii="仿宋" w:hAnsi="仿宋" w:eastAsia="仿宋" w:cs="仿宋"/>
          <w:color w:val="auto"/>
          <w:sz w:val="32"/>
          <w:szCs w:val="32"/>
          <w:lang w:val="en-US" w:eastAsia="zh-CN"/>
        </w:rPr>
      </w:pPr>
      <w:bookmarkStart w:id="330" w:name="_Toc681454356"/>
      <w:bookmarkStart w:id="331" w:name="_Toc7663"/>
      <w:bookmarkStart w:id="332" w:name="_Toc1971"/>
      <w:r>
        <w:rPr>
          <w:rFonts w:hint="eastAsia" w:ascii="仿宋" w:hAnsi="仿宋" w:eastAsia="仿宋" w:cs="仿宋"/>
          <w:color w:val="auto"/>
          <w:sz w:val="32"/>
          <w:szCs w:val="32"/>
          <w:lang w:val="en-US" w:eastAsia="zh-CN"/>
        </w:rPr>
        <w:t>(三)落实主体责任，推动企业尽职履责</w:t>
      </w:r>
      <w:bookmarkEnd w:id="330"/>
      <w:bookmarkEnd w:id="331"/>
      <w:bookmarkEnd w:id="332"/>
    </w:p>
    <w:p>
      <w:pPr>
        <w:keepNext w:val="0"/>
        <w:keepLines w:val="0"/>
        <w:pageBreakBefore w:val="0"/>
        <w:widowControl w:val="0"/>
        <w:tabs>
          <w:tab w:val="left" w:pos="928"/>
        </w:tabs>
        <w:kinsoku/>
        <w:wordWrap/>
        <w:overflowPunct/>
        <w:topLinePunct w:val="0"/>
        <w:autoSpaceDE/>
        <w:autoSpaceDN/>
        <w:bidi w:val="0"/>
        <w:adjustRightInd/>
        <w:snapToGrid/>
        <w:spacing w:line="560" w:lineRule="exact"/>
        <w:ind w:firstLine="600" w:firstLineChars="200"/>
        <w:jc w:val="left"/>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要紧紧围绕制度建设和隐患排查做文章，严格落实企业主体责任，细化安全生产过程管控，实行全员、全过程、全方位安全管理，配备具备相应素质的专职安全生产管理员，落实安全生产工作经费，建立健全企业安全生产责任制，明确企业各部门、各车间、各岗位的安全生产责任，完善企业安全生产规章制度，加强对制度落实情况的检查，确保企业安全生产工作落到实处。</w:t>
      </w:r>
    </w:p>
    <w:p>
      <w:pPr>
        <w:pStyle w:val="3"/>
        <w:bidi w:val="0"/>
        <w:jc w:val="center"/>
        <w:rPr>
          <w:rFonts w:hint="eastAsia"/>
          <w:color w:val="auto"/>
          <w:sz w:val="32"/>
          <w:szCs w:val="32"/>
          <w:lang w:val="en-US" w:eastAsia="zh-CN"/>
        </w:rPr>
      </w:pPr>
      <w:bookmarkStart w:id="333" w:name="_Toc14531"/>
      <w:bookmarkStart w:id="334" w:name="_Toc20513"/>
      <w:bookmarkStart w:id="335" w:name="_Toc10935"/>
      <w:bookmarkStart w:id="336" w:name="_Toc14731"/>
      <w:bookmarkStart w:id="337" w:name="_Toc28190"/>
      <w:bookmarkStart w:id="338" w:name="_Toc2797"/>
    </w:p>
    <w:p>
      <w:pPr>
        <w:pStyle w:val="3"/>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val="0"/>
          <w:bCs w:val="0"/>
          <w:color w:val="auto"/>
          <w:sz w:val="32"/>
          <w:szCs w:val="32"/>
          <w:lang w:val="en-US" w:eastAsia="zh-CN"/>
        </w:rPr>
      </w:pPr>
      <w:bookmarkStart w:id="339" w:name="_Toc9461"/>
      <w:bookmarkStart w:id="340" w:name="_Toc837093247"/>
      <w:bookmarkStart w:id="341" w:name="_Toc15666"/>
      <w:r>
        <w:rPr>
          <w:rFonts w:hint="eastAsia" w:ascii="黑体" w:hAnsi="黑体" w:eastAsia="黑体" w:cs="黑体"/>
          <w:b w:val="0"/>
          <w:bCs w:val="0"/>
          <w:color w:val="auto"/>
          <w:sz w:val="32"/>
          <w:szCs w:val="32"/>
          <w:lang w:val="en-US" w:eastAsia="zh-CN"/>
        </w:rPr>
        <w:t>第七章 完善政策措施</w:t>
      </w:r>
      <w:bookmarkEnd w:id="333"/>
      <w:bookmarkEnd w:id="334"/>
      <w:bookmarkEnd w:id="339"/>
      <w:bookmarkEnd w:id="340"/>
      <w:bookmarkEnd w:id="341"/>
    </w:p>
    <w:p>
      <w:pPr>
        <w:pStyle w:val="4"/>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 w:hAnsi="楷体" w:eastAsia="楷体" w:cs="楷体"/>
          <w:color w:val="auto"/>
          <w:sz w:val="32"/>
          <w:szCs w:val="32"/>
          <w:lang w:val="en-US" w:eastAsia="zh-CN"/>
        </w:rPr>
      </w:pPr>
      <w:bookmarkStart w:id="342" w:name="_Toc25394"/>
      <w:bookmarkStart w:id="343" w:name="_Toc697059523"/>
      <w:bookmarkStart w:id="344" w:name="_Toc2515"/>
      <w:r>
        <w:rPr>
          <w:rFonts w:hint="eastAsia" w:ascii="楷体" w:hAnsi="楷体" w:eastAsia="楷体" w:cs="楷体"/>
          <w:color w:val="auto"/>
          <w:sz w:val="32"/>
          <w:szCs w:val="32"/>
          <w:lang w:val="en-US" w:eastAsia="zh-CN"/>
        </w:rPr>
        <w:t>一、科学组织实施</w:t>
      </w:r>
      <w:bookmarkEnd w:id="335"/>
      <w:bookmarkEnd w:id="336"/>
      <w:bookmarkEnd w:id="337"/>
      <w:bookmarkEnd w:id="338"/>
      <w:bookmarkEnd w:id="342"/>
      <w:bookmarkEnd w:id="343"/>
      <w:bookmarkEnd w:id="344"/>
    </w:p>
    <w:p>
      <w:pPr>
        <w:pStyle w:val="5"/>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color w:val="auto"/>
          <w:sz w:val="32"/>
          <w:szCs w:val="32"/>
          <w:lang w:val="en-US" w:eastAsia="zh-CN"/>
        </w:rPr>
      </w:pPr>
      <w:bookmarkStart w:id="345" w:name="_Toc1342896548"/>
      <w:bookmarkStart w:id="346" w:name="_Toc16340"/>
      <w:bookmarkStart w:id="347" w:name="_Toc9575"/>
      <w:r>
        <w:rPr>
          <w:rFonts w:hint="eastAsia" w:ascii="仿宋" w:hAnsi="仿宋" w:eastAsia="仿宋" w:cs="仿宋"/>
          <w:color w:val="auto"/>
          <w:sz w:val="32"/>
          <w:szCs w:val="32"/>
          <w:lang w:val="en-US" w:eastAsia="zh-CN"/>
        </w:rPr>
        <w:t>(一)加强组织协调</w:t>
      </w:r>
      <w:bookmarkEnd w:id="345"/>
      <w:bookmarkEnd w:id="346"/>
      <w:bookmarkEnd w:id="347"/>
    </w:p>
    <w:p>
      <w:pPr>
        <w:pageBreakBefore w:val="0"/>
        <w:widowControl w:val="0"/>
        <w:tabs>
          <w:tab w:val="left" w:pos="928"/>
        </w:tabs>
        <w:kinsoku/>
        <w:wordWrap/>
        <w:overflowPunct/>
        <w:topLinePunct w:val="0"/>
        <w:autoSpaceDE/>
        <w:autoSpaceDN/>
        <w:bidi w:val="0"/>
        <w:adjustRightInd/>
        <w:snapToGrid/>
        <w:spacing w:line="560" w:lineRule="exact"/>
        <w:ind w:firstLine="600" w:firstLineChars="200"/>
        <w:jc w:val="left"/>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积极建立规划实施协调机制，统筹平罗县工业产业发展“十四五”规划的实施。完善工作机制，构建协商平台，加强财税、金融、投资、产业、土地、环保等政策措施的衔接配合，形成推动工业发展的合力。</w:t>
      </w:r>
    </w:p>
    <w:p>
      <w:pPr>
        <w:pStyle w:val="5"/>
        <w:pageBreakBefore w:val="0"/>
        <w:widowControl w:val="0"/>
        <w:kinsoku/>
        <w:wordWrap/>
        <w:overflowPunct/>
        <w:topLinePunct w:val="0"/>
        <w:autoSpaceDE/>
        <w:autoSpaceDN/>
        <w:bidi w:val="0"/>
        <w:adjustRightInd/>
        <w:snapToGrid/>
        <w:spacing w:line="560" w:lineRule="exact"/>
        <w:ind w:firstLine="643" w:firstLineChars="200"/>
        <w:textAlignment w:val="auto"/>
        <w:rPr>
          <w:rStyle w:val="25"/>
          <w:rFonts w:hint="eastAsia" w:ascii="仿宋" w:hAnsi="仿宋" w:eastAsia="仿宋" w:cs="仿宋"/>
          <w:b/>
          <w:bCs/>
          <w:color w:val="auto"/>
          <w:lang w:val="en-US" w:eastAsia="zh-CN"/>
        </w:rPr>
      </w:pPr>
      <w:bookmarkStart w:id="348" w:name="_Toc1365441041"/>
      <w:bookmarkStart w:id="349" w:name="_Toc27416"/>
      <w:bookmarkStart w:id="350" w:name="_Toc14513"/>
      <w:r>
        <w:rPr>
          <w:rFonts w:hint="eastAsia" w:ascii="仿宋" w:hAnsi="仿宋" w:eastAsia="仿宋" w:cs="仿宋"/>
          <w:color w:val="auto"/>
          <w:sz w:val="32"/>
          <w:szCs w:val="32"/>
          <w:lang w:val="en-US" w:eastAsia="zh-CN"/>
        </w:rPr>
        <w:t>(二)</w:t>
      </w:r>
      <w:r>
        <w:rPr>
          <w:rStyle w:val="25"/>
          <w:rFonts w:hint="eastAsia" w:ascii="仿宋" w:hAnsi="仿宋" w:eastAsia="仿宋" w:cs="仿宋"/>
          <w:b/>
          <w:bCs/>
          <w:color w:val="auto"/>
          <w:lang w:val="en-US" w:eastAsia="zh-CN"/>
        </w:rPr>
        <w:t>加强绩效考评</w:t>
      </w:r>
      <w:bookmarkEnd w:id="348"/>
      <w:bookmarkEnd w:id="349"/>
      <w:bookmarkEnd w:id="350"/>
    </w:p>
    <w:p>
      <w:pPr>
        <w:pageBreakBefore w:val="0"/>
        <w:widowControl w:val="0"/>
        <w:numPr>
          <w:ilvl w:val="0"/>
          <w:numId w:val="0"/>
        </w:numPr>
        <w:tabs>
          <w:tab w:val="left" w:pos="928"/>
        </w:tabs>
        <w:kinsoku/>
        <w:wordWrap/>
        <w:overflowPunct/>
        <w:topLinePunct w:val="0"/>
        <w:autoSpaceDE/>
        <w:autoSpaceDN/>
        <w:bidi w:val="0"/>
        <w:adjustRightInd/>
        <w:snapToGrid/>
        <w:spacing w:line="560" w:lineRule="exact"/>
        <w:ind w:leftChars="0" w:firstLine="600" w:firstLineChars="200"/>
        <w:jc w:val="left"/>
        <w:textAlignment w:val="auto"/>
        <w:rPr>
          <w:rFonts w:hint="eastAsia" w:ascii="仿宋_GB2312" w:hAnsi="仿宋_GB2312" w:eastAsia="仿宋_GB2312" w:cs="仿宋_GB2312"/>
          <w:color w:val="auto"/>
          <w:kern w:val="2"/>
          <w:sz w:val="30"/>
          <w:szCs w:val="30"/>
          <w:lang w:val="en-US" w:eastAsia="zh-CN" w:bidi="ar-SA"/>
        </w:rPr>
      </w:pPr>
      <w:bookmarkStart w:id="351" w:name="_Toc26167"/>
      <w:bookmarkStart w:id="352" w:name="_Toc12502"/>
      <w:r>
        <w:rPr>
          <w:rFonts w:hint="eastAsia" w:ascii="仿宋_GB2312" w:hAnsi="仿宋_GB2312" w:eastAsia="仿宋_GB2312" w:cs="仿宋_GB2312"/>
          <w:color w:val="auto"/>
          <w:sz w:val="30"/>
          <w:szCs w:val="30"/>
          <w:lang w:val="en-US" w:eastAsia="zh-CN"/>
        </w:rPr>
        <w:t>完善绩效考评体系，</w:t>
      </w:r>
      <w:bookmarkEnd w:id="351"/>
      <w:bookmarkEnd w:id="352"/>
      <w:r>
        <w:rPr>
          <w:rFonts w:hint="eastAsia" w:ascii="仿宋_GB2312" w:hAnsi="仿宋_GB2312" w:eastAsia="仿宋_GB2312" w:cs="仿宋_GB2312"/>
          <w:color w:val="auto"/>
          <w:kern w:val="2"/>
          <w:sz w:val="30"/>
          <w:szCs w:val="30"/>
          <w:lang w:val="en-US" w:eastAsia="zh-CN" w:bidi="ar-SA"/>
        </w:rPr>
        <w:t>将远景规划纲细化为各部门的规划和日常工作。制定年度计划，确定规划期内各年度需要重点推进的重大事项，以及需要完成的目标任务，层层分解，落实责任，实行绩效考评。</w:t>
      </w:r>
    </w:p>
    <w:p>
      <w:pPr>
        <w:pStyle w:val="5"/>
        <w:pageBreakBefore w:val="0"/>
        <w:widowControl w:val="0"/>
        <w:kinsoku/>
        <w:wordWrap/>
        <w:overflowPunct/>
        <w:topLinePunct w:val="0"/>
        <w:autoSpaceDE/>
        <w:autoSpaceDN/>
        <w:bidi w:val="0"/>
        <w:adjustRightInd/>
        <w:snapToGrid/>
        <w:spacing w:line="560" w:lineRule="exact"/>
        <w:ind w:firstLine="602" w:firstLineChars="200"/>
        <w:textAlignment w:val="auto"/>
        <w:rPr>
          <w:rFonts w:hint="eastAsia" w:ascii="仿宋" w:hAnsi="仿宋" w:eastAsia="仿宋" w:cs="仿宋"/>
          <w:color w:val="auto"/>
          <w:sz w:val="30"/>
          <w:szCs w:val="30"/>
          <w:lang w:val="en-US" w:eastAsia="zh-CN"/>
        </w:rPr>
      </w:pPr>
      <w:bookmarkStart w:id="353" w:name="_Toc14918"/>
      <w:bookmarkStart w:id="354" w:name="_Toc1572300843"/>
      <w:bookmarkStart w:id="355" w:name="_Toc25449"/>
      <w:r>
        <w:rPr>
          <w:rFonts w:hint="eastAsia" w:ascii="仿宋" w:hAnsi="仿宋" w:eastAsia="仿宋" w:cs="仿宋"/>
          <w:color w:val="auto"/>
          <w:sz w:val="30"/>
          <w:szCs w:val="30"/>
          <w:lang w:val="en-US" w:eastAsia="zh-CN"/>
        </w:rPr>
        <w:t>(三)加强监测评估</w:t>
      </w:r>
      <w:bookmarkEnd w:id="353"/>
      <w:bookmarkEnd w:id="354"/>
      <w:bookmarkEnd w:id="355"/>
    </w:p>
    <w:p>
      <w:pPr>
        <w:pageBreakBefore w:val="0"/>
        <w:widowControl w:val="0"/>
        <w:tabs>
          <w:tab w:val="left" w:pos="928"/>
        </w:tabs>
        <w:kinsoku/>
        <w:wordWrap/>
        <w:overflowPunct/>
        <w:topLinePunct w:val="0"/>
        <w:autoSpaceDE/>
        <w:autoSpaceDN/>
        <w:bidi w:val="0"/>
        <w:adjustRightInd/>
        <w:snapToGrid/>
        <w:spacing w:line="560" w:lineRule="exact"/>
        <w:ind w:firstLine="600" w:firstLineChars="200"/>
        <w:jc w:val="left"/>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完善规划监测评估制度，建立规范的动态监测机制和中后期评估机制。跟踪监测规划实施过程，根据形势变化，加强重大战略问题的改进研究，不断探求解决问题的新思路、新机制、新办法。建立规划调整制度，根据市场、政策等因素的变化，按程序及时对规划进行适当调整。</w:t>
      </w:r>
    </w:p>
    <w:p>
      <w:pPr>
        <w:pStyle w:val="4"/>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楷体" w:hAnsi="楷体" w:eastAsia="楷体" w:cs="楷体"/>
          <w:color w:val="auto"/>
          <w:sz w:val="32"/>
          <w:szCs w:val="32"/>
          <w:lang w:val="en-US" w:eastAsia="zh-CN"/>
        </w:rPr>
      </w:pPr>
      <w:bookmarkStart w:id="356" w:name="_Toc13565"/>
      <w:bookmarkStart w:id="357" w:name="_Toc27664"/>
      <w:bookmarkStart w:id="358" w:name="_Toc346925108"/>
      <w:bookmarkStart w:id="359" w:name="_Toc12952"/>
      <w:bookmarkStart w:id="360" w:name="_Toc2717"/>
      <w:bookmarkStart w:id="361" w:name="_Toc23656"/>
      <w:bookmarkStart w:id="362" w:name="_Toc12679"/>
      <w:r>
        <w:rPr>
          <w:rFonts w:hint="eastAsia" w:ascii="楷体" w:hAnsi="楷体" w:eastAsia="楷体" w:cs="楷体"/>
          <w:color w:val="auto"/>
          <w:sz w:val="32"/>
          <w:szCs w:val="32"/>
          <w:lang w:val="en-US" w:eastAsia="zh-CN"/>
        </w:rPr>
        <w:t>二、创新体制机制</w:t>
      </w:r>
      <w:bookmarkEnd w:id="356"/>
      <w:bookmarkEnd w:id="357"/>
      <w:bookmarkEnd w:id="358"/>
      <w:bookmarkEnd w:id="359"/>
      <w:bookmarkEnd w:id="360"/>
      <w:bookmarkEnd w:id="361"/>
      <w:bookmarkEnd w:id="362"/>
    </w:p>
    <w:p>
      <w:pPr>
        <w:pStyle w:val="5"/>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sz w:val="32"/>
          <w:szCs w:val="32"/>
          <w:lang w:val="en-US" w:eastAsia="zh-CN"/>
        </w:rPr>
      </w:pPr>
      <w:bookmarkStart w:id="363" w:name="_Toc13744"/>
      <w:bookmarkStart w:id="364" w:name="_Toc29130"/>
      <w:bookmarkStart w:id="365" w:name="_Toc1198711363"/>
      <w:r>
        <w:rPr>
          <w:rFonts w:hint="eastAsia" w:ascii="仿宋" w:hAnsi="仿宋" w:eastAsia="仿宋" w:cs="仿宋"/>
          <w:color w:val="auto"/>
          <w:sz w:val="32"/>
          <w:szCs w:val="32"/>
          <w:lang w:val="en-US" w:eastAsia="zh-CN"/>
        </w:rPr>
        <w:t>(一)</w:t>
      </w:r>
      <w:r>
        <w:rPr>
          <w:rFonts w:hint="eastAsia" w:ascii="仿宋" w:hAnsi="仿宋" w:eastAsia="仿宋" w:cs="仿宋"/>
          <w:sz w:val="32"/>
          <w:szCs w:val="32"/>
          <w:lang w:val="en-US" w:eastAsia="zh-CN"/>
        </w:rPr>
        <w:t>建设服务型政府</w:t>
      </w:r>
      <w:bookmarkEnd w:id="363"/>
      <w:bookmarkEnd w:id="364"/>
      <w:bookmarkEnd w:id="365"/>
    </w:p>
    <w:p>
      <w:pPr>
        <w:pageBreakBefore w:val="0"/>
        <w:widowControl w:val="0"/>
        <w:tabs>
          <w:tab w:val="left" w:pos="928"/>
        </w:tabs>
        <w:kinsoku/>
        <w:wordWrap/>
        <w:overflowPunct/>
        <w:topLinePunct w:val="0"/>
        <w:autoSpaceDE/>
        <w:autoSpaceDN/>
        <w:bidi w:val="0"/>
        <w:adjustRightInd/>
        <w:snapToGrid/>
        <w:spacing w:line="560" w:lineRule="exact"/>
        <w:ind w:firstLine="600" w:firstLineChars="200"/>
        <w:jc w:val="left"/>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树立“政府就是服务”理念，继续推进政府职能转变，全面建设服务型政府，变领导为服务、变管理为服务。政府实行“一站式办公”、“一门式服务”，为企业提供覆盖项目筹备、生产及运营全过程的全程服务。建立重大项目专门协调与服务小组。建立定期走访制度、专人负责制度，切实帮助企业解决各种困难。</w:t>
      </w:r>
    </w:p>
    <w:p>
      <w:pPr>
        <w:pStyle w:val="5"/>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color w:val="auto"/>
          <w:sz w:val="32"/>
          <w:szCs w:val="32"/>
          <w:lang w:val="en-US" w:eastAsia="zh-CN"/>
        </w:rPr>
      </w:pPr>
      <w:bookmarkStart w:id="366" w:name="_Toc24257"/>
      <w:bookmarkStart w:id="367" w:name="_Toc12509"/>
      <w:bookmarkStart w:id="368" w:name="_Toc1300354821"/>
      <w:r>
        <w:rPr>
          <w:rFonts w:hint="eastAsia" w:ascii="仿宋" w:hAnsi="仿宋" w:eastAsia="仿宋" w:cs="仿宋"/>
          <w:color w:val="auto"/>
          <w:sz w:val="32"/>
          <w:szCs w:val="32"/>
          <w:lang w:val="en-US" w:eastAsia="zh-CN"/>
        </w:rPr>
        <w:t>(二)简化行政审批</w:t>
      </w:r>
      <w:bookmarkEnd w:id="366"/>
      <w:bookmarkEnd w:id="367"/>
      <w:bookmarkEnd w:id="368"/>
    </w:p>
    <w:p>
      <w:pPr>
        <w:pageBreakBefore w:val="0"/>
        <w:widowControl w:val="0"/>
        <w:tabs>
          <w:tab w:val="left" w:pos="928"/>
        </w:tabs>
        <w:kinsoku/>
        <w:wordWrap/>
        <w:overflowPunct/>
        <w:topLinePunct w:val="0"/>
        <w:autoSpaceDE/>
        <w:autoSpaceDN/>
        <w:bidi w:val="0"/>
        <w:adjustRightInd/>
        <w:snapToGrid/>
        <w:spacing w:line="560" w:lineRule="exact"/>
        <w:ind w:firstLine="600" w:firstLineChars="200"/>
        <w:jc w:val="left"/>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对来平罗投资的企业，实行一条龙服务，对重点项目建立行政审批绿色通道。规范和简化审批手续，重点对建设项目行政审批过程中涉及的部门，依法理顺部门间审批程序，建立各部门审批联动机制，进一步优化内部办事流程，明确各部门审批工作每个办理环节的具体时限和岗位职责，落实审批服务事项限时办结制度。</w:t>
      </w:r>
    </w:p>
    <w:p>
      <w:pPr>
        <w:pStyle w:val="5"/>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color w:val="auto"/>
          <w:sz w:val="32"/>
          <w:szCs w:val="32"/>
          <w:lang w:val="en-US" w:eastAsia="zh-CN"/>
        </w:rPr>
      </w:pPr>
      <w:bookmarkStart w:id="369" w:name="_Toc10493"/>
      <w:bookmarkStart w:id="370" w:name="_Toc13570"/>
      <w:bookmarkStart w:id="371" w:name="_Toc636269496"/>
      <w:r>
        <w:rPr>
          <w:rFonts w:hint="eastAsia" w:ascii="仿宋" w:hAnsi="仿宋" w:eastAsia="仿宋" w:cs="仿宋"/>
          <w:color w:val="auto"/>
          <w:sz w:val="32"/>
          <w:szCs w:val="32"/>
          <w:lang w:val="en-US" w:eastAsia="zh-CN"/>
        </w:rPr>
        <w:t>(三)规范行政执法</w:t>
      </w:r>
      <w:bookmarkEnd w:id="369"/>
      <w:bookmarkEnd w:id="370"/>
      <w:bookmarkEnd w:id="371"/>
    </w:p>
    <w:p>
      <w:pPr>
        <w:pageBreakBefore w:val="0"/>
        <w:widowControl w:val="0"/>
        <w:tabs>
          <w:tab w:val="left" w:pos="928"/>
        </w:tabs>
        <w:kinsoku/>
        <w:wordWrap/>
        <w:overflowPunct/>
        <w:topLinePunct w:val="0"/>
        <w:autoSpaceDE/>
        <w:autoSpaceDN/>
        <w:bidi w:val="0"/>
        <w:adjustRightInd/>
        <w:snapToGrid/>
        <w:spacing w:line="560" w:lineRule="exact"/>
        <w:ind w:firstLine="600" w:firstLineChars="200"/>
        <w:jc w:val="left"/>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坚持依法行政、规范执法、公正执法、文明执法，杜绝行政不作为和乱作为，严厉查处侵犯投资者和企业合法权益、损害投资环境的行为。坚持公正、公开、透明，重大行政处罚实行公开听证制度。</w:t>
      </w:r>
    </w:p>
    <w:p>
      <w:pPr>
        <w:pStyle w:val="4"/>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 w:hAnsi="楷体" w:eastAsia="楷体" w:cs="楷体"/>
          <w:color w:val="auto"/>
          <w:sz w:val="32"/>
          <w:szCs w:val="32"/>
          <w:lang w:val="en-US" w:eastAsia="zh-CN"/>
        </w:rPr>
      </w:pPr>
      <w:bookmarkStart w:id="372" w:name="_Toc3440"/>
      <w:bookmarkStart w:id="373" w:name="_Toc29299"/>
      <w:bookmarkStart w:id="374" w:name="_Toc4830"/>
      <w:bookmarkStart w:id="375" w:name="_Toc25001"/>
      <w:bookmarkStart w:id="376" w:name="_Toc5684"/>
      <w:bookmarkStart w:id="377" w:name="_Toc1845804598"/>
      <w:bookmarkStart w:id="378" w:name="_Toc30555"/>
      <w:r>
        <w:rPr>
          <w:rFonts w:hint="eastAsia" w:ascii="楷体" w:hAnsi="楷体" w:eastAsia="楷体" w:cs="楷体"/>
          <w:color w:val="auto"/>
          <w:sz w:val="32"/>
          <w:szCs w:val="32"/>
          <w:lang w:val="en-US" w:eastAsia="zh-CN"/>
        </w:rPr>
        <w:t>三、积极落实政策</w:t>
      </w:r>
      <w:bookmarkEnd w:id="372"/>
      <w:bookmarkEnd w:id="373"/>
      <w:bookmarkEnd w:id="374"/>
      <w:bookmarkEnd w:id="375"/>
      <w:bookmarkEnd w:id="376"/>
      <w:bookmarkEnd w:id="377"/>
      <w:bookmarkEnd w:id="378"/>
    </w:p>
    <w:p>
      <w:pPr>
        <w:pStyle w:val="5"/>
        <w:keepNext/>
        <w:keepLines/>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color w:val="auto"/>
          <w:sz w:val="32"/>
          <w:szCs w:val="32"/>
          <w:lang w:val="en-US" w:eastAsia="zh-CN"/>
        </w:rPr>
      </w:pPr>
      <w:bookmarkStart w:id="379" w:name="_Toc7252"/>
      <w:bookmarkStart w:id="380" w:name="_Toc139464305"/>
      <w:bookmarkStart w:id="381" w:name="_Toc30941"/>
      <w:r>
        <w:rPr>
          <w:rFonts w:hint="eastAsia" w:ascii="仿宋" w:hAnsi="仿宋" w:eastAsia="仿宋" w:cs="仿宋"/>
          <w:color w:val="auto"/>
          <w:sz w:val="32"/>
          <w:szCs w:val="32"/>
          <w:lang w:val="en-US" w:eastAsia="zh-CN"/>
        </w:rPr>
        <w:t>(一)用足用好现有政策</w:t>
      </w:r>
      <w:bookmarkEnd w:id="379"/>
      <w:bookmarkEnd w:id="380"/>
      <w:bookmarkEnd w:id="381"/>
    </w:p>
    <w:p>
      <w:pPr>
        <w:pageBreakBefore w:val="0"/>
        <w:widowControl w:val="0"/>
        <w:tabs>
          <w:tab w:val="left" w:pos="928"/>
        </w:tabs>
        <w:kinsoku/>
        <w:wordWrap/>
        <w:overflowPunct/>
        <w:topLinePunct w:val="0"/>
        <w:autoSpaceDE/>
        <w:autoSpaceDN/>
        <w:bidi w:val="0"/>
        <w:adjustRightInd/>
        <w:snapToGrid/>
        <w:spacing w:line="560" w:lineRule="exact"/>
        <w:ind w:firstLine="600" w:firstLineChars="200"/>
        <w:jc w:val="left"/>
        <w:textAlignment w:val="auto"/>
        <w:rPr>
          <w:rFonts w:hint="eastAsia" w:asciiTheme="majorEastAsia" w:hAnsiTheme="majorEastAsia" w:eastAsiaTheme="majorEastAsia" w:cstheme="majorEastAsia"/>
          <w:color w:val="auto"/>
          <w:kern w:val="2"/>
          <w:sz w:val="32"/>
          <w:szCs w:val="32"/>
          <w:lang w:val="en-US" w:eastAsia="zh-CN" w:bidi="ar-SA"/>
        </w:rPr>
      </w:pPr>
      <w:r>
        <w:rPr>
          <w:rFonts w:hint="eastAsia" w:ascii="仿宋_GB2312" w:hAnsi="仿宋_GB2312" w:eastAsia="仿宋_GB2312" w:cs="仿宋_GB2312"/>
          <w:color w:val="auto"/>
          <w:kern w:val="2"/>
          <w:sz w:val="30"/>
          <w:szCs w:val="30"/>
          <w:lang w:val="en-US" w:eastAsia="zh-CN" w:bidi="ar-SA"/>
        </w:rPr>
        <w:t>围绕规划发展目标和产业发展重点，全面贯彻落实加快转变经济发展方式，促进产业结构优化升级的系列政策，认真兑现国家、自治区和我县已经出台的各项促进工业发展的财税、土地、投融资等优惠政策。</w:t>
      </w:r>
    </w:p>
    <w:p>
      <w:pPr>
        <w:pStyle w:val="5"/>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color w:val="auto"/>
          <w:sz w:val="32"/>
          <w:szCs w:val="32"/>
          <w:lang w:val="en-US" w:eastAsia="zh-CN"/>
        </w:rPr>
      </w:pPr>
      <w:bookmarkStart w:id="382" w:name="_Toc17013"/>
      <w:bookmarkStart w:id="383" w:name="_Toc334617759"/>
      <w:bookmarkStart w:id="384" w:name="_Toc27099"/>
      <w:r>
        <w:rPr>
          <w:rFonts w:hint="eastAsia" w:ascii="仿宋" w:hAnsi="仿宋" w:eastAsia="仿宋" w:cs="仿宋"/>
          <w:color w:val="auto"/>
          <w:sz w:val="32"/>
          <w:szCs w:val="32"/>
          <w:lang w:val="en-US" w:eastAsia="zh-CN"/>
        </w:rPr>
        <w:t>(二)加快制订配套政策</w:t>
      </w:r>
      <w:bookmarkEnd w:id="382"/>
      <w:bookmarkEnd w:id="383"/>
      <w:bookmarkEnd w:id="384"/>
    </w:p>
    <w:p>
      <w:pPr>
        <w:pageBreakBefore w:val="0"/>
        <w:widowControl w:val="0"/>
        <w:tabs>
          <w:tab w:val="left" w:pos="928"/>
        </w:tabs>
        <w:kinsoku/>
        <w:wordWrap/>
        <w:overflowPunct/>
        <w:topLinePunct w:val="0"/>
        <w:autoSpaceDE/>
        <w:autoSpaceDN/>
        <w:bidi w:val="0"/>
        <w:adjustRightInd/>
        <w:snapToGrid/>
        <w:spacing w:line="560" w:lineRule="exact"/>
        <w:ind w:firstLine="600" w:firstLineChars="200"/>
        <w:jc w:val="left"/>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结合我县的区位、资源和产业特色，加快制订和完善各项专项政策和配套政策，提高政策的配套性、针对性和可操作性，确保我县工业发展与结构升级有坚实的政策支撑。</w:t>
      </w:r>
    </w:p>
    <w:p>
      <w:pPr>
        <w:pStyle w:val="4"/>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 w:hAnsi="楷体" w:eastAsia="楷体" w:cs="楷体"/>
          <w:color w:val="auto"/>
          <w:sz w:val="32"/>
          <w:szCs w:val="32"/>
          <w:lang w:val="en-US" w:eastAsia="zh-CN"/>
        </w:rPr>
      </w:pPr>
      <w:bookmarkStart w:id="385" w:name="_Toc23728"/>
      <w:bookmarkStart w:id="386" w:name="_Toc8392"/>
      <w:bookmarkStart w:id="387" w:name="_Toc10469"/>
      <w:bookmarkStart w:id="388" w:name="_Toc17413"/>
      <w:bookmarkStart w:id="389" w:name="_Toc238"/>
      <w:bookmarkStart w:id="390" w:name="_Toc487027047"/>
      <w:bookmarkStart w:id="391" w:name="_Toc17885"/>
      <w:r>
        <w:rPr>
          <w:rFonts w:hint="eastAsia" w:ascii="楷体" w:hAnsi="楷体" w:eastAsia="楷体" w:cs="楷体"/>
          <w:color w:val="auto"/>
          <w:sz w:val="32"/>
          <w:szCs w:val="32"/>
          <w:lang w:val="en-US" w:eastAsia="zh-CN"/>
        </w:rPr>
        <w:t>四、做好项目支撑</w:t>
      </w:r>
      <w:bookmarkEnd w:id="385"/>
      <w:bookmarkEnd w:id="386"/>
      <w:bookmarkEnd w:id="387"/>
      <w:bookmarkEnd w:id="388"/>
      <w:bookmarkEnd w:id="389"/>
      <w:bookmarkEnd w:id="390"/>
      <w:bookmarkEnd w:id="391"/>
    </w:p>
    <w:p>
      <w:pPr>
        <w:pStyle w:val="5"/>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sz w:val="32"/>
          <w:szCs w:val="32"/>
          <w:lang w:val="en-US" w:eastAsia="zh-CN"/>
        </w:rPr>
      </w:pPr>
      <w:bookmarkStart w:id="392" w:name="_Toc2692"/>
      <w:bookmarkStart w:id="393" w:name="_Toc800204372"/>
      <w:bookmarkStart w:id="394" w:name="_Toc16504"/>
      <w:r>
        <w:rPr>
          <w:rFonts w:hint="eastAsia" w:ascii="仿宋" w:hAnsi="仿宋" w:eastAsia="仿宋" w:cs="仿宋"/>
          <w:sz w:val="32"/>
          <w:szCs w:val="32"/>
          <w:lang w:val="en-US" w:eastAsia="zh-CN"/>
        </w:rPr>
        <w:t>(一)加强项目前期工作</w:t>
      </w:r>
      <w:bookmarkEnd w:id="392"/>
      <w:bookmarkEnd w:id="393"/>
      <w:bookmarkEnd w:id="394"/>
    </w:p>
    <w:p>
      <w:pPr>
        <w:pageBreakBefore w:val="0"/>
        <w:widowControl w:val="0"/>
        <w:tabs>
          <w:tab w:val="left" w:pos="928"/>
        </w:tabs>
        <w:kinsoku/>
        <w:wordWrap/>
        <w:overflowPunct/>
        <w:topLinePunct w:val="0"/>
        <w:autoSpaceDE/>
        <w:autoSpaceDN/>
        <w:bidi w:val="0"/>
        <w:adjustRightInd/>
        <w:snapToGrid/>
        <w:spacing w:line="560" w:lineRule="exact"/>
        <w:ind w:firstLine="600" w:firstLineChars="200"/>
        <w:jc w:val="left"/>
        <w:textAlignment w:val="auto"/>
        <w:rPr>
          <w:rFonts w:hint="eastAsia" w:ascii="仿宋_GB2312" w:hAnsi="仿宋_GB2312" w:eastAsia="仿宋_GB2312" w:cs="仿宋_GB2312"/>
          <w:color w:val="auto"/>
          <w:kern w:val="2"/>
          <w:sz w:val="30"/>
          <w:szCs w:val="30"/>
          <w:lang w:val="en-US" w:eastAsia="zh-CN" w:bidi="ar-SA"/>
        </w:rPr>
      </w:pPr>
      <w:bookmarkStart w:id="395" w:name="_Toc26002"/>
      <w:r>
        <w:rPr>
          <w:rFonts w:hint="eastAsia" w:ascii="仿宋_GB2312" w:hAnsi="仿宋_GB2312" w:eastAsia="仿宋_GB2312" w:cs="仿宋_GB2312"/>
          <w:color w:val="auto"/>
          <w:sz w:val="30"/>
          <w:szCs w:val="30"/>
          <w:lang w:val="en-US" w:eastAsia="zh-CN"/>
        </w:rPr>
        <w:t>做好项目排查</w:t>
      </w:r>
      <w:bookmarkEnd w:id="395"/>
      <w:r>
        <w:rPr>
          <w:rFonts w:hint="eastAsia" w:ascii="仿宋_GB2312" w:hAnsi="仿宋_GB2312" w:eastAsia="仿宋_GB2312" w:cs="仿宋_GB2312"/>
          <w:color w:val="auto"/>
          <w:sz w:val="30"/>
          <w:szCs w:val="30"/>
          <w:lang w:val="en-US" w:eastAsia="zh-CN"/>
        </w:rPr>
        <w:t>、</w:t>
      </w:r>
      <w:r>
        <w:rPr>
          <w:rFonts w:hint="eastAsia" w:ascii="仿宋_GB2312" w:hAnsi="仿宋_GB2312" w:eastAsia="仿宋_GB2312" w:cs="仿宋_GB2312"/>
          <w:color w:val="auto"/>
          <w:kern w:val="2"/>
          <w:sz w:val="30"/>
          <w:szCs w:val="30"/>
          <w:lang w:val="en-US" w:eastAsia="zh-CN" w:bidi="ar-SA"/>
        </w:rPr>
        <w:t>挖掘工作，重点挖掘以资源精深加工为主、发展前景好、带动能力强、财政增收快的项目。建立项目储备制度。按照“开发一批、储备一批、建设一批、竣工一批”的原则，加强项目储备，对项目库进行动态管理，确保产业发展有足够的项目支撑，加快推进项目前期工作。继续实行项目联审联批、“马上办理”等行之有效的工作措施，及时解决项目审批等前期工作中存在的问题，确保项目早日开工建设。</w:t>
      </w:r>
    </w:p>
    <w:p>
      <w:pPr>
        <w:pStyle w:val="5"/>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textAlignment w:val="auto"/>
        <w:rPr>
          <w:rFonts w:hint="eastAsia" w:ascii="仿宋" w:hAnsi="仿宋" w:eastAsia="仿宋" w:cs="仿宋"/>
          <w:color w:val="auto"/>
          <w:sz w:val="32"/>
          <w:szCs w:val="32"/>
          <w:lang w:val="en-US" w:eastAsia="zh-CN"/>
        </w:rPr>
      </w:pPr>
      <w:bookmarkStart w:id="396" w:name="_Toc32573"/>
      <w:bookmarkStart w:id="397" w:name="_Toc13091"/>
      <w:bookmarkStart w:id="398" w:name="_Toc1392978678"/>
      <w:r>
        <w:rPr>
          <w:rFonts w:hint="eastAsia" w:ascii="仿宋" w:hAnsi="仿宋" w:eastAsia="仿宋" w:cs="仿宋"/>
          <w:color w:val="auto"/>
          <w:sz w:val="32"/>
          <w:szCs w:val="32"/>
          <w:lang w:val="en-US" w:eastAsia="zh-CN"/>
        </w:rPr>
        <w:t>(二)超常规推进项目建设</w:t>
      </w:r>
      <w:bookmarkEnd w:id="396"/>
      <w:bookmarkEnd w:id="397"/>
      <w:bookmarkEnd w:id="398"/>
    </w:p>
    <w:p>
      <w:pPr>
        <w:pageBreakBefore w:val="0"/>
        <w:widowControl w:val="0"/>
        <w:tabs>
          <w:tab w:val="left" w:pos="928"/>
        </w:tabs>
        <w:kinsoku/>
        <w:wordWrap/>
        <w:overflowPunct/>
        <w:topLinePunct w:val="0"/>
        <w:autoSpaceDE/>
        <w:autoSpaceDN/>
        <w:bidi w:val="0"/>
        <w:adjustRightInd/>
        <w:snapToGrid/>
        <w:spacing w:line="560" w:lineRule="exact"/>
        <w:ind w:firstLine="600" w:firstLineChars="200"/>
        <w:jc w:val="left"/>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对自治区层面统筹推进项目和市层面统筹推进项目进行动态监测，做到项目开工后投资不能减，施工不能停，形成施工连续性。对已开工但推进缓慢的项目，进一步强化领导责任，跟踪服务，全力清除项目建设中的障碍，确保项目的顺利推进。进一步完善项目“一对一”服务，大力推进银政企合作，加大对项目建设的信贷支持。加快用地规划调整、预审和审批，盘活土地存量，为项目建设提供有力保障。</w:t>
      </w:r>
    </w:p>
    <w:p>
      <w:pPr>
        <w:pStyle w:val="5"/>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color w:val="auto"/>
          <w:sz w:val="32"/>
          <w:szCs w:val="32"/>
          <w:lang w:val="en-US" w:eastAsia="zh-CN"/>
        </w:rPr>
      </w:pPr>
      <w:bookmarkStart w:id="399" w:name="_Toc13049"/>
      <w:bookmarkStart w:id="400" w:name="_Toc19931"/>
      <w:bookmarkStart w:id="401" w:name="_Toc592053439"/>
      <w:r>
        <w:rPr>
          <w:rFonts w:hint="eastAsia" w:ascii="仿宋" w:hAnsi="仿宋" w:eastAsia="仿宋" w:cs="仿宋"/>
          <w:color w:val="auto"/>
          <w:sz w:val="32"/>
          <w:szCs w:val="32"/>
          <w:lang w:val="en-US" w:eastAsia="zh-CN"/>
        </w:rPr>
        <w:t>(三)完善项目实施机制</w:t>
      </w:r>
      <w:bookmarkEnd w:id="399"/>
      <w:bookmarkEnd w:id="400"/>
      <w:bookmarkEnd w:id="401"/>
    </w:p>
    <w:p>
      <w:pPr>
        <w:pageBreakBefore w:val="0"/>
        <w:widowControl w:val="0"/>
        <w:tabs>
          <w:tab w:val="left" w:pos="928"/>
        </w:tabs>
        <w:kinsoku/>
        <w:wordWrap/>
        <w:overflowPunct/>
        <w:topLinePunct w:val="0"/>
        <w:autoSpaceDE/>
        <w:autoSpaceDN/>
        <w:bidi w:val="0"/>
        <w:adjustRightInd/>
        <w:snapToGrid/>
        <w:spacing w:line="560" w:lineRule="exact"/>
        <w:ind w:firstLine="600" w:firstLineChars="200"/>
        <w:jc w:val="left"/>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建立健全项目统筹推进机制、项目联合审批机制、项目用地保障机制、项目资金筹措机制、项目进展协调机制、项目进度督察督促机制、领导干部联系重大项目制度，确保项目审批后能够高效实施，快速成为新的经济增长点。形成挖掘、储备、建设、投产、扩建并存、滚动发展格局。</w:t>
      </w:r>
    </w:p>
    <w:p>
      <w:pPr>
        <w:pStyle w:val="4"/>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 w:hAnsi="楷体" w:eastAsia="楷体" w:cs="楷体"/>
          <w:color w:val="auto"/>
          <w:sz w:val="32"/>
          <w:szCs w:val="32"/>
          <w:lang w:val="en-US" w:eastAsia="zh-CN"/>
        </w:rPr>
      </w:pPr>
      <w:bookmarkStart w:id="402" w:name="_Toc5184"/>
      <w:bookmarkStart w:id="403" w:name="_Toc29006"/>
      <w:bookmarkStart w:id="404" w:name="_Toc32369"/>
      <w:bookmarkStart w:id="405" w:name="_Toc20760"/>
      <w:bookmarkStart w:id="406" w:name="_Toc2093"/>
      <w:bookmarkStart w:id="407" w:name="_Toc20430"/>
      <w:bookmarkStart w:id="408" w:name="_Toc51381260"/>
      <w:r>
        <w:rPr>
          <w:rFonts w:hint="eastAsia" w:ascii="楷体" w:hAnsi="楷体" w:eastAsia="楷体" w:cs="楷体"/>
          <w:color w:val="auto"/>
          <w:sz w:val="32"/>
          <w:szCs w:val="32"/>
          <w:lang w:val="en-US" w:eastAsia="zh-CN"/>
        </w:rPr>
        <w:t>五、强化招商引资</w:t>
      </w:r>
      <w:bookmarkEnd w:id="402"/>
      <w:bookmarkEnd w:id="403"/>
      <w:bookmarkEnd w:id="404"/>
      <w:bookmarkEnd w:id="405"/>
      <w:bookmarkEnd w:id="406"/>
      <w:bookmarkEnd w:id="407"/>
      <w:bookmarkEnd w:id="408"/>
    </w:p>
    <w:p>
      <w:pPr>
        <w:pageBreakBefore w:val="0"/>
        <w:widowControl w:val="0"/>
        <w:numPr>
          <w:ilvl w:val="0"/>
          <w:numId w:val="0"/>
        </w:numPr>
        <w:tabs>
          <w:tab w:val="left" w:pos="928"/>
        </w:tabs>
        <w:kinsoku/>
        <w:wordWrap/>
        <w:overflowPunct/>
        <w:topLinePunct w:val="0"/>
        <w:autoSpaceDE/>
        <w:autoSpaceDN/>
        <w:bidi w:val="0"/>
        <w:adjustRightInd/>
        <w:snapToGrid/>
        <w:spacing w:line="560" w:lineRule="exact"/>
        <w:ind w:firstLine="600" w:firstLineChars="200"/>
        <w:jc w:val="left"/>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依托我县的产业基础、丰富的劳动力、优势资源以及区位，加快承接国内外尤其是我国东部地区产业转移，推动重点产业承接发展，引进项目实行大项目优先、主导产业类项目优先、新兴产业类项目优先、跨境合作项目优先、循环经济项目优先、绿色项目优先，进一步壮大产业规模，构建现代产业体系。</w:t>
      </w:r>
    </w:p>
    <w:p>
      <w:pPr>
        <w:pStyle w:val="3"/>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仿宋_GB2312" w:hAnsi="仿宋_GB2312" w:eastAsia="仿宋_GB2312" w:cs="仿宋_GB2312"/>
          <w:b w:val="0"/>
          <w:bCs w:val="0"/>
          <w:color w:val="auto"/>
          <w:kern w:val="2"/>
          <w:sz w:val="30"/>
          <w:szCs w:val="30"/>
          <w:lang w:val="en-US" w:eastAsia="zh-CN" w:bidi="ar-SA"/>
        </w:rPr>
      </w:pPr>
      <w:bookmarkStart w:id="409" w:name="_Toc11487"/>
      <w:bookmarkStart w:id="410" w:name="_Toc20466"/>
      <w:bookmarkStart w:id="411" w:name="_Toc2130"/>
    </w:p>
    <w:p>
      <w:pPr>
        <w:pStyle w:val="3"/>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bookmarkStart w:id="412" w:name="_Toc1713960222"/>
      <w:bookmarkStart w:id="413" w:name="_Toc9321"/>
      <w:r>
        <w:rPr>
          <w:rFonts w:hint="eastAsia" w:ascii="楷体" w:hAnsi="楷体" w:eastAsia="楷体" w:cs="楷体"/>
          <w:b w:val="0"/>
          <w:bCs w:val="0"/>
          <w:color w:val="auto"/>
          <w:kern w:val="2"/>
          <w:sz w:val="32"/>
          <w:szCs w:val="32"/>
          <w:lang w:val="en-US" w:eastAsia="zh-CN" w:bidi="ar-SA"/>
        </w:rPr>
        <w:t>附表：平罗县工业发展“十四五”规划支撑项目表</w:t>
      </w:r>
      <w:bookmarkEnd w:id="409"/>
      <w:bookmarkEnd w:id="410"/>
      <w:bookmarkEnd w:id="411"/>
      <w:bookmarkEnd w:id="412"/>
      <w:bookmarkEnd w:id="413"/>
    </w:p>
    <w:sectPr>
      <w:footerReference r:id="rId3" w:type="default"/>
      <w:pgSz w:w="11906" w:h="16838"/>
      <w:pgMar w:top="1117" w:right="1587" w:bottom="1440" w:left="1757" w:header="851" w:footer="992" w:gutter="0"/>
      <w:pgNumType w:fmt="numberInDash"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方正姚体">
    <w:altName w:val="宋体"/>
    <w:panose1 w:val="02010601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 w:name="Microsoft JhengHei">
    <w:panose1 w:val="020B0604030504040204"/>
    <w:charset w:val="88"/>
    <w:family w:val="auto"/>
    <w:pitch w:val="default"/>
    <w:sig w:usb0="00000087" w:usb1="28AF40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wGtTmFgIAABUEAAAOAAAAAAAA&#10;AAEAIAAAAB8BAABkcnMvZTJvRG9jLnhtbFBLBQYAAAAABgAGAFkBAACnBQAAAAA=&#10;">
              <v:fill on="f" focussize="0,0"/>
              <v:stroke on="f" weight="0.5pt"/>
              <v:imagedata o:title=""/>
              <o:lock v:ext="edit" aspectratio="f"/>
              <v:textbox inset="0mm,0mm,0mm,0mm" style="mso-fit-shape-to-text:t;">
                <w:txbxContent>
                  <w:p>
                    <w:pPr>
                      <w:pStyle w:val="12"/>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FiYTlkMWE3MzFjOTQ3M2Y0MjU0ZmVmMjEzMDhlNGYifQ=="/>
  </w:docVars>
  <w:rsids>
    <w:rsidRoot w:val="30CD18D2"/>
    <w:rsid w:val="00586621"/>
    <w:rsid w:val="008E5081"/>
    <w:rsid w:val="0099075A"/>
    <w:rsid w:val="011E3EF5"/>
    <w:rsid w:val="013925EC"/>
    <w:rsid w:val="016F329F"/>
    <w:rsid w:val="01A42501"/>
    <w:rsid w:val="025E2755"/>
    <w:rsid w:val="04132B0E"/>
    <w:rsid w:val="04271BA7"/>
    <w:rsid w:val="045E5C26"/>
    <w:rsid w:val="047617F8"/>
    <w:rsid w:val="04A37C87"/>
    <w:rsid w:val="052C1687"/>
    <w:rsid w:val="053D4751"/>
    <w:rsid w:val="063F0E7F"/>
    <w:rsid w:val="067C5089"/>
    <w:rsid w:val="06CB7A8A"/>
    <w:rsid w:val="07113EE4"/>
    <w:rsid w:val="073148C3"/>
    <w:rsid w:val="07723902"/>
    <w:rsid w:val="077361CC"/>
    <w:rsid w:val="08721931"/>
    <w:rsid w:val="08BF7022"/>
    <w:rsid w:val="08EE3F86"/>
    <w:rsid w:val="0A5E0811"/>
    <w:rsid w:val="0AAF1B6F"/>
    <w:rsid w:val="0AC60ECF"/>
    <w:rsid w:val="0B4B3CCE"/>
    <w:rsid w:val="0B502F39"/>
    <w:rsid w:val="0BD841D8"/>
    <w:rsid w:val="0C77535C"/>
    <w:rsid w:val="0C7D071A"/>
    <w:rsid w:val="0C975476"/>
    <w:rsid w:val="0DF04D08"/>
    <w:rsid w:val="0DFE194C"/>
    <w:rsid w:val="0DFFF6E0"/>
    <w:rsid w:val="0E236D93"/>
    <w:rsid w:val="0E4F7C17"/>
    <w:rsid w:val="0E810CC1"/>
    <w:rsid w:val="0EBC0738"/>
    <w:rsid w:val="0F9535BC"/>
    <w:rsid w:val="0FE60171"/>
    <w:rsid w:val="110D130D"/>
    <w:rsid w:val="1133079D"/>
    <w:rsid w:val="11A40038"/>
    <w:rsid w:val="125B7727"/>
    <w:rsid w:val="128B0817"/>
    <w:rsid w:val="12E1985F"/>
    <w:rsid w:val="13A540D9"/>
    <w:rsid w:val="13BD6450"/>
    <w:rsid w:val="13C2271D"/>
    <w:rsid w:val="13D06BA0"/>
    <w:rsid w:val="141F42AA"/>
    <w:rsid w:val="15542020"/>
    <w:rsid w:val="155E5529"/>
    <w:rsid w:val="159B241E"/>
    <w:rsid w:val="15DF1802"/>
    <w:rsid w:val="15FE2698"/>
    <w:rsid w:val="16703C99"/>
    <w:rsid w:val="16D75A2B"/>
    <w:rsid w:val="170D3CC1"/>
    <w:rsid w:val="18081D7E"/>
    <w:rsid w:val="182F42AF"/>
    <w:rsid w:val="185C5B9E"/>
    <w:rsid w:val="186A771D"/>
    <w:rsid w:val="18F36956"/>
    <w:rsid w:val="1924449F"/>
    <w:rsid w:val="1939598B"/>
    <w:rsid w:val="194D72FE"/>
    <w:rsid w:val="1B240A63"/>
    <w:rsid w:val="1BEF3799"/>
    <w:rsid w:val="1BFE4E0C"/>
    <w:rsid w:val="1C532509"/>
    <w:rsid w:val="1C8B1F74"/>
    <w:rsid w:val="1CC21523"/>
    <w:rsid w:val="1D0A25EB"/>
    <w:rsid w:val="1D303D26"/>
    <w:rsid w:val="1DCC450F"/>
    <w:rsid w:val="1DD211CC"/>
    <w:rsid w:val="1E057DD6"/>
    <w:rsid w:val="1E890F54"/>
    <w:rsid w:val="1EB46225"/>
    <w:rsid w:val="1F2C3720"/>
    <w:rsid w:val="1F4EE663"/>
    <w:rsid w:val="1FA65828"/>
    <w:rsid w:val="1FE30659"/>
    <w:rsid w:val="1FFF0DF8"/>
    <w:rsid w:val="20F74EF1"/>
    <w:rsid w:val="21E1382B"/>
    <w:rsid w:val="2229213C"/>
    <w:rsid w:val="22692C1D"/>
    <w:rsid w:val="22910410"/>
    <w:rsid w:val="22BB7977"/>
    <w:rsid w:val="22DA7DA5"/>
    <w:rsid w:val="22DB0BE4"/>
    <w:rsid w:val="23091760"/>
    <w:rsid w:val="23D31FA9"/>
    <w:rsid w:val="23EF1AE9"/>
    <w:rsid w:val="23FD47A6"/>
    <w:rsid w:val="23FEFA7B"/>
    <w:rsid w:val="247641E8"/>
    <w:rsid w:val="2494334F"/>
    <w:rsid w:val="25551797"/>
    <w:rsid w:val="25B34BFF"/>
    <w:rsid w:val="25C41EB2"/>
    <w:rsid w:val="25CB020A"/>
    <w:rsid w:val="25FD4B3B"/>
    <w:rsid w:val="2608002E"/>
    <w:rsid w:val="262D51CA"/>
    <w:rsid w:val="26381645"/>
    <w:rsid w:val="2639311C"/>
    <w:rsid w:val="26B32E51"/>
    <w:rsid w:val="2764053D"/>
    <w:rsid w:val="27655D6E"/>
    <w:rsid w:val="2796526A"/>
    <w:rsid w:val="282770EB"/>
    <w:rsid w:val="28731973"/>
    <w:rsid w:val="288F40D2"/>
    <w:rsid w:val="290B05BC"/>
    <w:rsid w:val="297734A4"/>
    <w:rsid w:val="29B07387"/>
    <w:rsid w:val="2A24006F"/>
    <w:rsid w:val="2A5C2769"/>
    <w:rsid w:val="2A9A5ED9"/>
    <w:rsid w:val="2AB0306F"/>
    <w:rsid w:val="2B056053"/>
    <w:rsid w:val="2B255F92"/>
    <w:rsid w:val="2B512F48"/>
    <w:rsid w:val="2BFD189C"/>
    <w:rsid w:val="2C2A1A36"/>
    <w:rsid w:val="2CA068F4"/>
    <w:rsid w:val="2CD3F0B2"/>
    <w:rsid w:val="2D281691"/>
    <w:rsid w:val="2D3F10DB"/>
    <w:rsid w:val="2D502692"/>
    <w:rsid w:val="2D5412D0"/>
    <w:rsid w:val="2D6D771C"/>
    <w:rsid w:val="2DC91153"/>
    <w:rsid w:val="2DF7FF22"/>
    <w:rsid w:val="2E272360"/>
    <w:rsid w:val="2F261563"/>
    <w:rsid w:val="2FD25AA2"/>
    <w:rsid w:val="2FE74B9E"/>
    <w:rsid w:val="30AE0188"/>
    <w:rsid w:val="30B9005A"/>
    <w:rsid w:val="30CB00AC"/>
    <w:rsid w:val="30CD18D2"/>
    <w:rsid w:val="30D83CF5"/>
    <w:rsid w:val="30DE1FAD"/>
    <w:rsid w:val="31044A81"/>
    <w:rsid w:val="312C76F4"/>
    <w:rsid w:val="31555567"/>
    <w:rsid w:val="316419A5"/>
    <w:rsid w:val="3334237F"/>
    <w:rsid w:val="333D1C4C"/>
    <w:rsid w:val="346754DC"/>
    <w:rsid w:val="34EC30EE"/>
    <w:rsid w:val="34EE6297"/>
    <w:rsid w:val="35615E2C"/>
    <w:rsid w:val="35897E43"/>
    <w:rsid w:val="358B6CF2"/>
    <w:rsid w:val="35A824A0"/>
    <w:rsid w:val="360D7A8D"/>
    <w:rsid w:val="3613638D"/>
    <w:rsid w:val="36831BE0"/>
    <w:rsid w:val="36BD6E29"/>
    <w:rsid w:val="36F553A2"/>
    <w:rsid w:val="36FBC19F"/>
    <w:rsid w:val="3746301B"/>
    <w:rsid w:val="37482872"/>
    <w:rsid w:val="375F348A"/>
    <w:rsid w:val="377F7312"/>
    <w:rsid w:val="37BBD787"/>
    <w:rsid w:val="37FE509E"/>
    <w:rsid w:val="381875A1"/>
    <w:rsid w:val="387C0796"/>
    <w:rsid w:val="390C33BF"/>
    <w:rsid w:val="39904B26"/>
    <w:rsid w:val="399D720F"/>
    <w:rsid w:val="39C65248"/>
    <w:rsid w:val="39FF414A"/>
    <w:rsid w:val="3A17320F"/>
    <w:rsid w:val="3AB710AF"/>
    <w:rsid w:val="3B460947"/>
    <w:rsid w:val="3B4869F2"/>
    <w:rsid w:val="3B4F72BE"/>
    <w:rsid w:val="3B863385"/>
    <w:rsid w:val="3BA14942"/>
    <w:rsid w:val="3C6D55F2"/>
    <w:rsid w:val="3CBD2815"/>
    <w:rsid w:val="3CC75E9D"/>
    <w:rsid w:val="3CF602E4"/>
    <w:rsid w:val="3D0724D6"/>
    <w:rsid w:val="3D2E6C27"/>
    <w:rsid w:val="3D7B9143"/>
    <w:rsid w:val="3D7C1411"/>
    <w:rsid w:val="3E107701"/>
    <w:rsid w:val="3E1E7800"/>
    <w:rsid w:val="3E2468B3"/>
    <w:rsid w:val="3E2B2B0A"/>
    <w:rsid w:val="3E964959"/>
    <w:rsid w:val="3EB70457"/>
    <w:rsid w:val="3ED71F01"/>
    <w:rsid w:val="3EF7B3F3"/>
    <w:rsid w:val="3EFB8D58"/>
    <w:rsid w:val="3EFF90B8"/>
    <w:rsid w:val="3F211610"/>
    <w:rsid w:val="3F9507CC"/>
    <w:rsid w:val="3FAE3F57"/>
    <w:rsid w:val="3FDFB8BC"/>
    <w:rsid w:val="3FEA09E7"/>
    <w:rsid w:val="3FEF9F20"/>
    <w:rsid w:val="3FF9E0BC"/>
    <w:rsid w:val="3FFD1202"/>
    <w:rsid w:val="3FFF8F85"/>
    <w:rsid w:val="40417E40"/>
    <w:rsid w:val="409D31E4"/>
    <w:rsid w:val="40B2615E"/>
    <w:rsid w:val="413262B4"/>
    <w:rsid w:val="415B757D"/>
    <w:rsid w:val="416076A7"/>
    <w:rsid w:val="41B51549"/>
    <w:rsid w:val="41FB5B69"/>
    <w:rsid w:val="4211318B"/>
    <w:rsid w:val="426A2B94"/>
    <w:rsid w:val="42FD4522"/>
    <w:rsid w:val="42FF74F0"/>
    <w:rsid w:val="436A484C"/>
    <w:rsid w:val="439272E5"/>
    <w:rsid w:val="442C34EA"/>
    <w:rsid w:val="444101AC"/>
    <w:rsid w:val="44AC25BD"/>
    <w:rsid w:val="44BD0B45"/>
    <w:rsid w:val="44DB50E0"/>
    <w:rsid w:val="455074F5"/>
    <w:rsid w:val="455C3C11"/>
    <w:rsid w:val="4589583E"/>
    <w:rsid w:val="45B03EB5"/>
    <w:rsid w:val="46595633"/>
    <w:rsid w:val="46757C6C"/>
    <w:rsid w:val="467FFA6E"/>
    <w:rsid w:val="47433F6C"/>
    <w:rsid w:val="47FE31F6"/>
    <w:rsid w:val="48337DE7"/>
    <w:rsid w:val="486E4F9C"/>
    <w:rsid w:val="48C849D2"/>
    <w:rsid w:val="492E7EB7"/>
    <w:rsid w:val="4A0C169E"/>
    <w:rsid w:val="4A2E0653"/>
    <w:rsid w:val="4A5B7484"/>
    <w:rsid w:val="4A8D3F05"/>
    <w:rsid w:val="4BDE555D"/>
    <w:rsid w:val="4C3B5A99"/>
    <w:rsid w:val="4C580ACD"/>
    <w:rsid w:val="4C946BD8"/>
    <w:rsid w:val="4CC875E0"/>
    <w:rsid w:val="4D005D96"/>
    <w:rsid w:val="4D6FB8BE"/>
    <w:rsid w:val="4DBC3A52"/>
    <w:rsid w:val="4DF98EE9"/>
    <w:rsid w:val="4E300313"/>
    <w:rsid w:val="4E9B2C02"/>
    <w:rsid w:val="4F6013DF"/>
    <w:rsid w:val="4F823F78"/>
    <w:rsid w:val="4FDC1A8D"/>
    <w:rsid w:val="4FDD2146"/>
    <w:rsid w:val="4FDFA754"/>
    <w:rsid w:val="4FF7F683"/>
    <w:rsid w:val="505854E7"/>
    <w:rsid w:val="50C1670E"/>
    <w:rsid w:val="50E55B26"/>
    <w:rsid w:val="518D75D0"/>
    <w:rsid w:val="529D0939"/>
    <w:rsid w:val="52F9FAC0"/>
    <w:rsid w:val="530B0C84"/>
    <w:rsid w:val="532E909C"/>
    <w:rsid w:val="5331605F"/>
    <w:rsid w:val="54087256"/>
    <w:rsid w:val="54173D03"/>
    <w:rsid w:val="54A12C1D"/>
    <w:rsid w:val="55434E06"/>
    <w:rsid w:val="55435BA9"/>
    <w:rsid w:val="555759A0"/>
    <w:rsid w:val="558411CB"/>
    <w:rsid w:val="55EB56A2"/>
    <w:rsid w:val="56E64DFB"/>
    <w:rsid w:val="57073B54"/>
    <w:rsid w:val="5709795B"/>
    <w:rsid w:val="5773E187"/>
    <w:rsid w:val="577E5441"/>
    <w:rsid w:val="57E714CB"/>
    <w:rsid w:val="5830200C"/>
    <w:rsid w:val="583D782A"/>
    <w:rsid w:val="58A24BEC"/>
    <w:rsid w:val="58B51602"/>
    <w:rsid w:val="58BE09EA"/>
    <w:rsid w:val="58E95A29"/>
    <w:rsid w:val="58EE649A"/>
    <w:rsid w:val="58FC2284"/>
    <w:rsid w:val="58FE04EE"/>
    <w:rsid w:val="592550F7"/>
    <w:rsid w:val="59996222"/>
    <w:rsid w:val="59BDE721"/>
    <w:rsid w:val="59D80399"/>
    <w:rsid w:val="5A320C5E"/>
    <w:rsid w:val="5AED14F8"/>
    <w:rsid w:val="5AEF5C69"/>
    <w:rsid w:val="5B343852"/>
    <w:rsid w:val="5B5924C9"/>
    <w:rsid w:val="5B7727B5"/>
    <w:rsid w:val="5B7FCB97"/>
    <w:rsid w:val="5B8381F7"/>
    <w:rsid w:val="5C5C536F"/>
    <w:rsid w:val="5C7560D1"/>
    <w:rsid w:val="5C7BDF0C"/>
    <w:rsid w:val="5CA92C31"/>
    <w:rsid w:val="5D7997F1"/>
    <w:rsid w:val="5D7B9113"/>
    <w:rsid w:val="5DA75DB4"/>
    <w:rsid w:val="5DBB0245"/>
    <w:rsid w:val="5DDF2202"/>
    <w:rsid w:val="5DE610E9"/>
    <w:rsid w:val="5DF9A9D1"/>
    <w:rsid w:val="5EAE2B8C"/>
    <w:rsid w:val="5EF3AC78"/>
    <w:rsid w:val="5EF742F8"/>
    <w:rsid w:val="5F005910"/>
    <w:rsid w:val="5F2057CC"/>
    <w:rsid w:val="5F6631BA"/>
    <w:rsid w:val="5FA4ED8B"/>
    <w:rsid w:val="5FCC6401"/>
    <w:rsid w:val="5FEB2DEF"/>
    <w:rsid w:val="5FEB3225"/>
    <w:rsid w:val="5FEF5CB9"/>
    <w:rsid w:val="5FFB914F"/>
    <w:rsid w:val="5FFD3662"/>
    <w:rsid w:val="60455B8D"/>
    <w:rsid w:val="60896680"/>
    <w:rsid w:val="609E01B6"/>
    <w:rsid w:val="61025A59"/>
    <w:rsid w:val="615B7ED9"/>
    <w:rsid w:val="62406DFC"/>
    <w:rsid w:val="62B114E5"/>
    <w:rsid w:val="63F5F800"/>
    <w:rsid w:val="64574E3C"/>
    <w:rsid w:val="646F4976"/>
    <w:rsid w:val="649A0190"/>
    <w:rsid w:val="64BE21D7"/>
    <w:rsid w:val="65123FCE"/>
    <w:rsid w:val="6543033A"/>
    <w:rsid w:val="65686DAE"/>
    <w:rsid w:val="65742EFE"/>
    <w:rsid w:val="658C14FF"/>
    <w:rsid w:val="65AC4E23"/>
    <w:rsid w:val="65EE4D00"/>
    <w:rsid w:val="660A2F15"/>
    <w:rsid w:val="661F9C3C"/>
    <w:rsid w:val="670D795B"/>
    <w:rsid w:val="6773892D"/>
    <w:rsid w:val="67B21DCF"/>
    <w:rsid w:val="67FECE82"/>
    <w:rsid w:val="67FF0CD3"/>
    <w:rsid w:val="68974DEF"/>
    <w:rsid w:val="689C1A04"/>
    <w:rsid w:val="68A95C09"/>
    <w:rsid w:val="68AF7A9A"/>
    <w:rsid w:val="68E33A8B"/>
    <w:rsid w:val="696F3E9F"/>
    <w:rsid w:val="69B62DB3"/>
    <w:rsid w:val="69E024B5"/>
    <w:rsid w:val="6A3215F2"/>
    <w:rsid w:val="6A6FA071"/>
    <w:rsid w:val="6B5B9377"/>
    <w:rsid w:val="6BF87D7F"/>
    <w:rsid w:val="6C585791"/>
    <w:rsid w:val="6C7B6D80"/>
    <w:rsid w:val="6CD54C0B"/>
    <w:rsid w:val="6D19A6B6"/>
    <w:rsid w:val="6D1F02F4"/>
    <w:rsid w:val="6D5C1F82"/>
    <w:rsid w:val="6D7EF7C2"/>
    <w:rsid w:val="6DC13583"/>
    <w:rsid w:val="6DC55CAB"/>
    <w:rsid w:val="6DF5236A"/>
    <w:rsid w:val="6DF72A5C"/>
    <w:rsid w:val="6DFD3B42"/>
    <w:rsid w:val="6E8F8B48"/>
    <w:rsid w:val="6EB90533"/>
    <w:rsid w:val="6EFB4BA2"/>
    <w:rsid w:val="6F685621"/>
    <w:rsid w:val="6F69300A"/>
    <w:rsid w:val="6F79B3F6"/>
    <w:rsid w:val="6F7F3F10"/>
    <w:rsid w:val="6FBEBF36"/>
    <w:rsid w:val="6FCE58B2"/>
    <w:rsid w:val="6FD38A59"/>
    <w:rsid w:val="6FF0A571"/>
    <w:rsid w:val="6FFBD4EC"/>
    <w:rsid w:val="6FFF517E"/>
    <w:rsid w:val="6FFFF86F"/>
    <w:rsid w:val="70AD3C34"/>
    <w:rsid w:val="70BB452F"/>
    <w:rsid w:val="70E0309E"/>
    <w:rsid w:val="70F25DA7"/>
    <w:rsid w:val="719E25DA"/>
    <w:rsid w:val="71B672B6"/>
    <w:rsid w:val="71FB0082"/>
    <w:rsid w:val="720E04F1"/>
    <w:rsid w:val="722021E3"/>
    <w:rsid w:val="724E7250"/>
    <w:rsid w:val="727513FB"/>
    <w:rsid w:val="72FF57B7"/>
    <w:rsid w:val="73176F13"/>
    <w:rsid w:val="73425FEB"/>
    <w:rsid w:val="73689777"/>
    <w:rsid w:val="73FFF6FB"/>
    <w:rsid w:val="74211B37"/>
    <w:rsid w:val="7433153A"/>
    <w:rsid w:val="74782EE6"/>
    <w:rsid w:val="754055B6"/>
    <w:rsid w:val="754D3562"/>
    <w:rsid w:val="757FFE8D"/>
    <w:rsid w:val="759E9B6C"/>
    <w:rsid w:val="75A23711"/>
    <w:rsid w:val="767DED51"/>
    <w:rsid w:val="76BF0F81"/>
    <w:rsid w:val="76F65B54"/>
    <w:rsid w:val="773F568B"/>
    <w:rsid w:val="775B730A"/>
    <w:rsid w:val="775F671A"/>
    <w:rsid w:val="777F56D4"/>
    <w:rsid w:val="77952B0E"/>
    <w:rsid w:val="77F952D7"/>
    <w:rsid w:val="780457DC"/>
    <w:rsid w:val="78781979"/>
    <w:rsid w:val="78840D52"/>
    <w:rsid w:val="78876D37"/>
    <w:rsid w:val="78DC27AB"/>
    <w:rsid w:val="78FA12FC"/>
    <w:rsid w:val="79551CA5"/>
    <w:rsid w:val="79742C09"/>
    <w:rsid w:val="799129E5"/>
    <w:rsid w:val="79BE46F6"/>
    <w:rsid w:val="79E680AD"/>
    <w:rsid w:val="79E75829"/>
    <w:rsid w:val="7A8726AE"/>
    <w:rsid w:val="7A8FCDFA"/>
    <w:rsid w:val="7ABD0FAF"/>
    <w:rsid w:val="7AC53417"/>
    <w:rsid w:val="7B705F56"/>
    <w:rsid w:val="7B7D5AAF"/>
    <w:rsid w:val="7BD40BB0"/>
    <w:rsid w:val="7BDF9009"/>
    <w:rsid w:val="7BFAF755"/>
    <w:rsid w:val="7BFD618B"/>
    <w:rsid w:val="7BFF4081"/>
    <w:rsid w:val="7C1C3A1B"/>
    <w:rsid w:val="7C335922"/>
    <w:rsid w:val="7CBF251C"/>
    <w:rsid w:val="7CFCD8CA"/>
    <w:rsid w:val="7D338696"/>
    <w:rsid w:val="7D5389DD"/>
    <w:rsid w:val="7D97D569"/>
    <w:rsid w:val="7DA930E0"/>
    <w:rsid w:val="7DBD5D88"/>
    <w:rsid w:val="7DBE69E0"/>
    <w:rsid w:val="7DE19897"/>
    <w:rsid w:val="7DF3571D"/>
    <w:rsid w:val="7DF365C1"/>
    <w:rsid w:val="7DF767A2"/>
    <w:rsid w:val="7DF78EE3"/>
    <w:rsid w:val="7DFE4F9B"/>
    <w:rsid w:val="7E201773"/>
    <w:rsid w:val="7E216E4F"/>
    <w:rsid w:val="7E6F939B"/>
    <w:rsid w:val="7E758CF8"/>
    <w:rsid w:val="7E7FC729"/>
    <w:rsid w:val="7EB787BA"/>
    <w:rsid w:val="7ECFE0BE"/>
    <w:rsid w:val="7EDBE32A"/>
    <w:rsid w:val="7EDBEA5D"/>
    <w:rsid w:val="7EDE7895"/>
    <w:rsid w:val="7EEB9F11"/>
    <w:rsid w:val="7EEF304A"/>
    <w:rsid w:val="7EF332DA"/>
    <w:rsid w:val="7EF50447"/>
    <w:rsid w:val="7F0707A9"/>
    <w:rsid w:val="7F28311F"/>
    <w:rsid w:val="7F3D5B77"/>
    <w:rsid w:val="7F4126F7"/>
    <w:rsid w:val="7F5945DD"/>
    <w:rsid w:val="7F5F321B"/>
    <w:rsid w:val="7F737867"/>
    <w:rsid w:val="7F7706C5"/>
    <w:rsid w:val="7F7BD48D"/>
    <w:rsid w:val="7F7CE333"/>
    <w:rsid w:val="7F7F3DFC"/>
    <w:rsid w:val="7FAB70ED"/>
    <w:rsid w:val="7FB535C6"/>
    <w:rsid w:val="7FBE986D"/>
    <w:rsid w:val="7FBF0063"/>
    <w:rsid w:val="7FD35B6A"/>
    <w:rsid w:val="7FDFF7EF"/>
    <w:rsid w:val="7FEBDBF6"/>
    <w:rsid w:val="7FF72557"/>
    <w:rsid w:val="7FFA37C0"/>
    <w:rsid w:val="7FFC0C08"/>
    <w:rsid w:val="7FFD552F"/>
    <w:rsid w:val="7FFE51F6"/>
    <w:rsid w:val="7FFF1680"/>
    <w:rsid w:val="7FFFE17B"/>
    <w:rsid w:val="973FA129"/>
    <w:rsid w:val="999F6EEB"/>
    <w:rsid w:val="9BF641EF"/>
    <w:rsid w:val="9BFF47B9"/>
    <w:rsid w:val="9C7B8162"/>
    <w:rsid w:val="9FDF330C"/>
    <w:rsid w:val="9FF70E0E"/>
    <w:rsid w:val="9FFB6A98"/>
    <w:rsid w:val="A56B1E1C"/>
    <w:rsid w:val="A7DEA596"/>
    <w:rsid w:val="A7EDF1D2"/>
    <w:rsid w:val="AB8B636E"/>
    <w:rsid w:val="ADFF0C86"/>
    <w:rsid w:val="AF7F6268"/>
    <w:rsid w:val="AF9C7101"/>
    <w:rsid w:val="AFA3AEFA"/>
    <w:rsid w:val="B2FB2417"/>
    <w:rsid w:val="B3B76F1A"/>
    <w:rsid w:val="B4F9AF9F"/>
    <w:rsid w:val="B77B2AE3"/>
    <w:rsid w:val="BBBFEE81"/>
    <w:rsid w:val="BDDF4DA4"/>
    <w:rsid w:val="BDEF6F8F"/>
    <w:rsid w:val="BF7BFA94"/>
    <w:rsid w:val="BF9B3C9B"/>
    <w:rsid w:val="BFBF29A3"/>
    <w:rsid w:val="BFFDDF3C"/>
    <w:rsid w:val="CBFFE520"/>
    <w:rsid w:val="CD3D4B1C"/>
    <w:rsid w:val="CDEFC2F9"/>
    <w:rsid w:val="CDFABFB0"/>
    <w:rsid w:val="CFEEFAF7"/>
    <w:rsid w:val="D1B731F9"/>
    <w:rsid w:val="D77DC1D7"/>
    <w:rsid w:val="D7BD2BE7"/>
    <w:rsid w:val="D7F75CA9"/>
    <w:rsid w:val="DAFD16B8"/>
    <w:rsid w:val="DBBF7E04"/>
    <w:rsid w:val="DBF4A62B"/>
    <w:rsid w:val="DC0DBB76"/>
    <w:rsid w:val="DC2BD2C0"/>
    <w:rsid w:val="DC773C75"/>
    <w:rsid w:val="DDAD2B63"/>
    <w:rsid w:val="DDFFAC7E"/>
    <w:rsid w:val="DE8E8422"/>
    <w:rsid w:val="DF1B6AD5"/>
    <w:rsid w:val="DFF7558E"/>
    <w:rsid w:val="E55F47D2"/>
    <w:rsid w:val="E5FF6D89"/>
    <w:rsid w:val="E6DD4C06"/>
    <w:rsid w:val="E9FDD6F0"/>
    <w:rsid w:val="ECE769D9"/>
    <w:rsid w:val="ED5DCDD2"/>
    <w:rsid w:val="EDFBDFF6"/>
    <w:rsid w:val="EDFF5BC2"/>
    <w:rsid w:val="EEED2C9C"/>
    <w:rsid w:val="EF6F0E49"/>
    <w:rsid w:val="EF87ACA6"/>
    <w:rsid w:val="EF9710FE"/>
    <w:rsid w:val="EF9F38D2"/>
    <w:rsid w:val="EFCB54F1"/>
    <w:rsid w:val="EFDA74DB"/>
    <w:rsid w:val="F3FDF876"/>
    <w:rsid w:val="F3FFE43E"/>
    <w:rsid w:val="F5AF48DC"/>
    <w:rsid w:val="F5DF33FE"/>
    <w:rsid w:val="F5F4BFE5"/>
    <w:rsid w:val="F6FD953C"/>
    <w:rsid w:val="F776AA3B"/>
    <w:rsid w:val="F79BC822"/>
    <w:rsid w:val="F7EF94DA"/>
    <w:rsid w:val="F93F6FDA"/>
    <w:rsid w:val="F9FFD1AA"/>
    <w:rsid w:val="FAD5355B"/>
    <w:rsid w:val="FAF68760"/>
    <w:rsid w:val="FAFFF12B"/>
    <w:rsid w:val="FB269FC8"/>
    <w:rsid w:val="FBF31B1B"/>
    <w:rsid w:val="FBF681FA"/>
    <w:rsid w:val="FC7FE57D"/>
    <w:rsid w:val="FCB67978"/>
    <w:rsid w:val="FCFF777E"/>
    <w:rsid w:val="FD6DB554"/>
    <w:rsid w:val="FD7E562E"/>
    <w:rsid w:val="FD7F24D0"/>
    <w:rsid w:val="FD8F4050"/>
    <w:rsid w:val="FD9DD3B8"/>
    <w:rsid w:val="FDCF94CC"/>
    <w:rsid w:val="FDE2B6FE"/>
    <w:rsid w:val="FDE59570"/>
    <w:rsid w:val="FDF38FD5"/>
    <w:rsid w:val="FDF8BDF0"/>
    <w:rsid w:val="FDFC7732"/>
    <w:rsid w:val="FE1B2E79"/>
    <w:rsid w:val="FE27048D"/>
    <w:rsid w:val="FEDFBB81"/>
    <w:rsid w:val="FEEF4204"/>
    <w:rsid w:val="FEF73601"/>
    <w:rsid w:val="FF163F36"/>
    <w:rsid w:val="FF2D345C"/>
    <w:rsid w:val="FF5D6FB7"/>
    <w:rsid w:val="FF9DB638"/>
    <w:rsid w:val="FFB00122"/>
    <w:rsid w:val="FFBFA318"/>
    <w:rsid w:val="FFBFBB2A"/>
    <w:rsid w:val="FFDFAAD8"/>
    <w:rsid w:val="FFEB3B85"/>
    <w:rsid w:val="FFEB7E88"/>
    <w:rsid w:val="FFF262BA"/>
    <w:rsid w:val="FFF6290C"/>
    <w:rsid w:val="FFF790D5"/>
    <w:rsid w:val="FFF92813"/>
    <w:rsid w:val="FFFD78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link w:val="26"/>
    <w:qFormat/>
    <w:uiPriority w:val="0"/>
    <w:pPr>
      <w:keepNext/>
      <w:keepLines/>
      <w:spacing w:beforeLines="0" w:afterLines="0" w:line="240" w:lineRule="auto"/>
      <w:jc w:val="left"/>
      <w:outlineLvl w:val="0"/>
    </w:pPr>
    <w:rPr>
      <w:b/>
      <w:bCs/>
      <w:kern w:val="44"/>
      <w:sz w:val="32"/>
      <w:szCs w:val="44"/>
    </w:rPr>
  </w:style>
  <w:style w:type="paragraph" w:styleId="4">
    <w:name w:val="heading 2"/>
    <w:basedOn w:val="1"/>
    <w:next w:val="1"/>
    <w:link w:val="27"/>
    <w:unhideWhenUsed/>
    <w:qFormat/>
    <w:uiPriority w:val="0"/>
    <w:pPr>
      <w:keepNext/>
      <w:keepLines/>
      <w:spacing w:beforeLines="0" w:afterLines="0" w:line="240" w:lineRule="auto"/>
      <w:jc w:val="left"/>
      <w:outlineLvl w:val="1"/>
    </w:pPr>
    <w:rPr>
      <w:rFonts w:ascii="Arial" w:hAnsi="Arial" w:eastAsia="仿宋_GB2312"/>
      <w:b/>
      <w:bCs/>
      <w:szCs w:val="32"/>
    </w:rPr>
  </w:style>
  <w:style w:type="paragraph" w:styleId="5">
    <w:name w:val="heading 3"/>
    <w:basedOn w:val="1"/>
    <w:next w:val="1"/>
    <w:link w:val="25"/>
    <w:unhideWhenUsed/>
    <w:qFormat/>
    <w:uiPriority w:val="0"/>
    <w:pPr>
      <w:keepNext/>
      <w:keepLines/>
      <w:spacing w:beforeLines="0" w:afterLines="0" w:line="240" w:lineRule="auto"/>
      <w:jc w:val="left"/>
      <w:outlineLvl w:val="2"/>
    </w:pPr>
    <w:rPr>
      <w:b/>
      <w:bCs/>
      <w:szCs w:val="32"/>
      <w:lang w:bidi="ar-SA"/>
    </w:rPr>
  </w:style>
  <w:style w:type="paragraph" w:styleId="6">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23">
    <w:name w:val="Default Paragraph Font"/>
    <w:semiHidden/>
    <w:qFormat/>
    <w:uiPriority w:val="0"/>
  </w:style>
  <w:style w:type="table" w:default="1" w:styleId="21">
    <w:name w:val="Normal Table"/>
    <w:semiHidden/>
    <w:qFormat/>
    <w:uiPriority w:val="0"/>
    <w:tblPr>
      <w:tblCellMar>
        <w:top w:w="0" w:type="dxa"/>
        <w:left w:w="108" w:type="dxa"/>
        <w:bottom w:w="0" w:type="dxa"/>
        <w:right w:w="108" w:type="dxa"/>
      </w:tblCellMar>
    </w:tblPr>
  </w:style>
  <w:style w:type="paragraph" w:customStyle="1" w:styleId="2">
    <w:name w:val="Normal Indent1"/>
    <w:basedOn w:val="1"/>
    <w:qFormat/>
    <w:uiPriority w:val="99"/>
    <w:pPr>
      <w:ind w:firstLine="200" w:firstLineChars="200"/>
    </w:pPr>
    <w:rPr>
      <w:rFonts w:eastAsia="宋体"/>
    </w:rPr>
  </w:style>
  <w:style w:type="paragraph" w:styleId="7">
    <w:name w:val="index 5"/>
    <w:basedOn w:val="1"/>
    <w:next w:val="1"/>
    <w:qFormat/>
    <w:uiPriority w:val="0"/>
    <w:pPr>
      <w:ind w:left="1680"/>
    </w:pPr>
  </w:style>
  <w:style w:type="paragraph" w:styleId="8">
    <w:name w:val="Body Text"/>
    <w:basedOn w:val="1"/>
    <w:link w:val="36"/>
    <w:qFormat/>
    <w:uiPriority w:val="1"/>
    <w:rPr>
      <w:rFonts w:ascii="仿宋_GB2312" w:hAnsi="仿宋_GB2312" w:eastAsia="仿宋_GB2312" w:cs="仿宋_GB2312"/>
      <w:sz w:val="32"/>
      <w:szCs w:val="32"/>
      <w:lang w:val="zh-CN" w:eastAsia="zh-CN" w:bidi="zh-CN"/>
    </w:rPr>
  </w:style>
  <w:style w:type="paragraph" w:styleId="9">
    <w:name w:val="Body Text Indent"/>
    <w:basedOn w:val="1"/>
    <w:next w:val="7"/>
    <w:qFormat/>
    <w:uiPriority w:val="0"/>
    <w:pPr>
      <w:ind w:left="420"/>
    </w:pPr>
    <w:rPr>
      <w:rFonts w:ascii="仿宋_GB2312" w:eastAsia="仿宋_GB2312"/>
      <w:sz w:val="32"/>
    </w:rPr>
  </w:style>
  <w:style w:type="paragraph" w:styleId="10">
    <w:name w:val="toc 3"/>
    <w:basedOn w:val="1"/>
    <w:next w:val="1"/>
    <w:link w:val="34"/>
    <w:qFormat/>
    <w:uiPriority w:val="0"/>
    <w:pPr>
      <w:ind w:left="840" w:leftChars="400"/>
    </w:pPr>
  </w:style>
  <w:style w:type="paragraph" w:styleId="11">
    <w:name w:val="Plain Text"/>
    <w:basedOn w:val="1"/>
    <w:link w:val="35"/>
    <w:qFormat/>
    <w:uiPriority w:val="0"/>
    <w:rPr>
      <w:rFonts w:ascii="宋体" w:hAnsi="Courier New"/>
      <w:szCs w:val="21"/>
    </w:rPr>
  </w:style>
  <w:style w:type="paragraph" w:styleId="12">
    <w:name w:val="footer"/>
    <w:basedOn w:val="1"/>
    <w:qFormat/>
    <w:uiPriority w:val="0"/>
    <w:pPr>
      <w:tabs>
        <w:tab w:val="center" w:pos="4153"/>
        <w:tab w:val="right" w:pos="8306"/>
      </w:tabs>
      <w:snapToGrid w:val="0"/>
      <w:jc w:val="left"/>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qFormat/>
    <w:uiPriority w:val="0"/>
  </w:style>
  <w:style w:type="paragraph" w:styleId="15">
    <w:name w:val="table of figures"/>
    <w:basedOn w:val="1"/>
    <w:next w:val="1"/>
    <w:qFormat/>
    <w:uiPriority w:val="0"/>
    <w:pPr>
      <w:ind w:leftChars="200" w:hanging="200" w:hangingChars="200"/>
    </w:pPr>
  </w:style>
  <w:style w:type="paragraph" w:styleId="16">
    <w:name w:val="toc 2"/>
    <w:basedOn w:val="1"/>
    <w:next w:val="1"/>
    <w:qFormat/>
    <w:uiPriority w:val="0"/>
    <w:pPr>
      <w:ind w:left="420" w:leftChars="200"/>
    </w:pPr>
  </w:style>
  <w:style w:type="paragraph" w:styleId="17">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8">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19">
    <w:name w:val="Title"/>
    <w:basedOn w:val="1"/>
    <w:qFormat/>
    <w:uiPriority w:val="0"/>
    <w:pPr>
      <w:spacing w:before="240" w:after="60"/>
      <w:jc w:val="center"/>
      <w:outlineLvl w:val="0"/>
    </w:pPr>
    <w:rPr>
      <w:rFonts w:ascii="Arial" w:hAnsi="Arial"/>
      <w:b/>
      <w:sz w:val="32"/>
    </w:rPr>
  </w:style>
  <w:style w:type="paragraph" w:styleId="20">
    <w:name w:val="Body Text First Indent 2"/>
    <w:basedOn w:val="9"/>
    <w:next w:val="1"/>
    <w:qFormat/>
    <w:uiPriority w:val="0"/>
    <w:pPr>
      <w:spacing w:after="120"/>
      <w:ind w:leftChars="200" w:firstLine="420" w:firstLineChars="200"/>
    </w:pPr>
    <w:rPr>
      <w:rFonts w:ascii="Times New Roman"/>
    </w:r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qFormat/>
    <w:uiPriority w:val="0"/>
    <w:rPr>
      <w:b/>
    </w:rPr>
  </w:style>
  <w:style w:type="character" w:customStyle="1" w:styleId="25">
    <w:name w:val="标题 3 Char"/>
    <w:link w:val="5"/>
    <w:qFormat/>
    <w:uiPriority w:val="0"/>
    <w:rPr>
      <w:b/>
      <w:bCs/>
      <w:kern w:val="2"/>
      <w:sz w:val="32"/>
      <w:szCs w:val="32"/>
      <w:lang w:val="en-US" w:eastAsia="zh-CN" w:bidi="ar-SA"/>
    </w:rPr>
  </w:style>
  <w:style w:type="character" w:customStyle="1" w:styleId="26">
    <w:name w:val="标题 1 Char"/>
    <w:link w:val="3"/>
    <w:qFormat/>
    <w:uiPriority w:val="0"/>
    <w:rPr>
      <w:b/>
      <w:bCs/>
      <w:kern w:val="44"/>
      <w:sz w:val="32"/>
      <w:szCs w:val="44"/>
    </w:rPr>
  </w:style>
  <w:style w:type="character" w:customStyle="1" w:styleId="27">
    <w:name w:val="标题 2 Char"/>
    <w:link w:val="4"/>
    <w:qFormat/>
    <w:uiPriority w:val="0"/>
    <w:rPr>
      <w:rFonts w:ascii="Arial" w:hAnsi="Arial" w:eastAsia="仿宋_GB2312"/>
      <w:b/>
      <w:bCs/>
      <w:kern w:val="2"/>
      <w:sz w:val="32"/>
      <w:szCs w:val="32"/>
    </w:rPr>
  </w:style>
  <w:style w:type="character" w:customStyle="1" w:styleId="28">
    <w:name w:val="NormalCharacter"/>
    <w:qFormat/>
    <w:uiPriority w:val="0"/>
    <w:rPr>
      <w:rFonts w:ascii="Times New Roman" w:hAnsi="Times New Roman" w:eastAsia="宋体" w:cs="Times New Roman"/>
      <w:kern w:val="2"/>
      <w:sz w:val="21"/>
      <w:szCs w:val="24"/>
      <w:lang w:val="en-US" w:eastAsia="zh-CN" w:bidi="ar-SA"/>
    </w:rPr>
  </w:style>
  <w:style w:type="paragraph" w:customStyle="1" w:styleId="29">
    <w:name w:val="WPSOffice手动目录 1"/>
    <w:qFormat/>
    <w:uiPriority w:val="0"/>
    <w:pPr>
      <w:ind w:leftChars="0"/>
    </w:pPr>
    <w:rPr>
      <w:rFonts w:ascii="Calibri" w:hAnsi="Calibri" w:eastAsia="宋体" w:cs="Times New Roman"/>
      <w:sz w:val="20"/>
      <w:szCs w:val="20"/>
    </w:rPr>
  </w:style>
  <w:style w:type="paragraph" w:customStyle="1" w:styleId="30">
    <w:name w:val="WPSOffice手动目录 2"/>
    <w:qFormat/>
    <w:uiPriority w:val="0"/>
    <w:pPr>
      <w:ind w:leftChars="200"/>
    </w:pPr>
    <w:rPr>
      <w:rFonts w:ascii="Calibri" w:hAnsi="Calibri" w:eastAsia="宋体" w:cs="Times New Roman"/>
      <w:sz w:val="20"/>
      <w:szCs w:val="20"/>
    </w:rPr>
  </w:style>
  <w:style w:type="paragraph" w:customStyle="1" w:styleId="31">
    <w:name w:val="WPSOffice手动目录 3"/>
    <w:qFormat/>
    <w:uiPriority w:val="0"/>
    <w:pPr>
      <w:ind w:leftChars="400"/>
    </w:pPr>
    <w:rPr>
      <w:rFonts w:ascii="Calibri" w:hAnsi="Calibri" w:eastAsia="宋体" w:cs="Times New Roman"/>
      <w:sz w:val="20"/>
      <w:szCs w:val="20"/>
    </w:rPr>
  </w:style>
  <w:style w:type="paragraph" w:customStyle="1" w:styleId="32">
    <w:name w:val="List Paragraph"/>
    <w:basedOn w:val="1"/>
    <w:qFormat/>
    <w:uiPriority w:val="0"/>
    <w:pPr>
      <w:ind w:firstLine="420" w:firstLineChars="200"/>
    </w:pPr>
    <w:rPr>
      <w:szCs w:val="22"/>
    </w:rPr>
  </w:style>
  <w:style w:type="paragraph" w:customStyle="1" w:styleId="33">
    <w:name w:val="正文-啊"/>
    <w:basedOn w:val="1"/>
    <w:qFormat/>
    <w:uiPriority w:val="99"/>
    <w:pPr>
      <w:spacing w:before="312" w:beforeLines="100" w:line="276" w:lineRule="auto"/>
      <w:ind w:left="210" w:right="210" w:firstLine="600"/>
      <w:contextualSpacing/>
    </w:pPr>
    <w:rPr>
      <w:rFonts w:ascii="微软雅黑" w:hAnsi="微软雅黑" w:eastAsia="微软雅黑" w:cs="Times New Roman"/>
      <w:color w:val="000000"/>
      <w:sz w:val="24"/>
      <w:szCs w:val="24"/>
    </w:rPr>
  </w:style>
  <w:style w:type="character" w:customStyle="1" w:styleId="34">
    <w:name w:val="目录 3 Char"/>
    <w:link w:val="10"/>
    <w:qFormat/>
    <w:uiPriority w:val="0"/>
  </w:style>
  <w:style w:type="character" w:customStyle="1" w:styleId="35">
    <w:name w:val="纯文本 Char"/>
    <w:link w:val="11"/>
    <w:qFormat/>
    <w:uiPriority w:val="0"/>
    <w:rPr>
      <w:rFonts w:ascii="宋体" w:hAnsi="Courier New"/>
      <w:szCs w:val="21"/>
    </w:rPr>
  </w:style>
  <w:style w:type="character" w:customStyle="1" w:styleId="36">
    <w:name w:val="正文文本 Char"/>
    <w:link w:val="8"/>
    <w:qFormat/>
    <w:uiPriority w:val="1"/>
    <w:rPr>
      <w:rFonts w:ascii="仿宋_GB2312" w:hAnsi="仿宋_GB2312" w:eastAsia="仿宋_GB2312" w:cs="仿宋_GB2312"/>
      <w:sz w:val="32"/>
      <w:szCs w:val="32"/>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63</Pages>
  <Words>31821</Words>
  <Characters>32503</Characters>
  <Lines>0</Lines>
  <Paragraphs>0</Paragraphs>
  <TotalTime>39</TotalTime>
  <ScaleCrop>false</ScaleCrop>
  <LinksUpToDate>false</LinksUpToDate>
  <CharactersWithSpaces>33076</CharactersWithSpaces>
  <Application>WPS Office_11.8.2.8808_F1E327BC-269C-435d-A152-05C5408002CA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2020-11-11T20:47:00Z</dcterms:created>
  <dc:creator>Administrator</dc:creator>
  <cp:lastModifiedBy>平罗县工信局收文员</cp:lastModifiedBy>
  <cp:lastPrinted>2022-04-27T07:41:00Z</cp:lastPrinted>
  <dcterms:modified xsi:type="dcterms:W3CDTF">2023-01-04T09:23:28Z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2052-11.8.2.8808</vt:lpwstr>
  </property>
  <property fmtid="{D5CDD505-2E9C-101B-9397-08002B2CF9AE}" pid="3" name="ICV">
    <vt:lpwstr>74C08D2D6EEE4D54BEFAC81BCA4BD446</vt:lpwstr>
  </property>
</Properties>
</file>