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hint="eastAsia" w:ascii="黑体" w:hAnsi="黑体" w:eastAsia="黑体"/>
          <w:b/>
          <w:color w:val="000000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6"/>
        </w:rPr>
        <w:t>201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8</w:t>
      </w:r>
      <w:r>
        <w:rPr>
          <w:rFonts w:hint="eastAsia" w:ascii="黑体" w:hAnsi="黑体" w:eastAsia="黑体"/>
          <w:b/>
          <w:color w:val="000000"/>
          <w:sz w:val="36"/>
        </w:rPr>
        <w:t>年司法所工作督查细则</w:t>
      </w:r>
    </w:p>
    <w:tbl>
      <w:tblPr>
        <w:tblStyle w:val="7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39"/>
        <w:gridCol w:w="10642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  <w:t>项  目</w:t>
            </w:r>
          </w:p>
        </w:tc>
        <w:tc>
          <w:tcPr>
            <w:tcW w:w="10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  <w:t>督查内容</w:t>
            </w:r>
          </w:p>
        </w:tc>
        <w:tc>
          <w:tcPr>
            <w:tcW w:w="230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51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  <w:t xml:space="preserve">队  伍  建  设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1"/>
                <w:szCs w:val="21"/>
              </w:rPr>
              <w:t>18 分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1"/>
                <w:szCs w:val="21"/>
              </w:rPr>
              <w:t>理论学习信息宣传 7 分</w:t>
            </w:r>
          </w:p>
        </w:tc>
        <w:tc>
          <w:tcPr>
            <w:tcW w:w="10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1、按照司法所规范化建设要求，及时做好各项规范化建设工作。（1分）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2、按照党员教育积分制度和“两学一做”学习教育要求，按时开展党员教育和学习活动，每月及时上交党员教育积分表（以上报综合管理办公室登记为准），记好学习笔记、学法笔记及各类材料收集。（2分）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3、每所每人按要求及时上报心得体会（以上报综合管理办公室登记为准）。（1分）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4、执行“法律大讲堂”学习培训活动安排，及时准备讲稿、认真授课。（1分）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5、每所每月上报信息2篇,每所每2个月至少有1篇以上信息被县级以上部门或媒体采用。（1分）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1"/>
                <w:szCs w:val="21"/>
              </w:rPr>
              <w:t xml:space="preserve"> 6、每所每年报送1篇以上以业务工作为主的调研文章。（1分）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12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  <w:t>考勤情况 5分</w:t>
            </w:r>
          </w:p>
        </w:tc>
        <w:tc>
          <w:tcPr>
            <w:tcW w:w="10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1、定期召开学习和所务会议，每周1次。（1分）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2、建立所内考勤制度和节假日值班制度，每月月底上报当月考勤情况，节假日上报值班安排表，加盖乡镇政府印章。（1分）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3、按时上下班，严格执行带薪年休假制度和请销假制度。（1分）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4、按时参加县局工作例会及其它会议。按时参加机关支部主题党日活动。（1分）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5、积极参加全局性公益劳动及文体活动。（1分）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12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  <w:t>安全生产 3分</w:t>
            </w:r>
          </w:p>
        </w:tc>
        <w:tc>
          <w:tcPr>
            <w:tcW w:w="10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、加强安全生产，年内无安全事故发生、无违章情况发生；严格遵守公车使用制度，服从县局统一调度，年内无交通事故发生。各所应对车辆按时做好年检，车辆驾驶员对车辆做好保养工作。每周及时上报车辆使用情况，各所需建立车辆出车、维修台账，进一步完善公务车用车管理。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2、积极配合乡镇开展禁毒、铁路护路工作，做到有图片有活动记录。活动资料及时上报局综合管理办公室。（1分）                                                                                                    3、加强各所固定资产管理，建立固定资产台账，做到分类明确，名目清析。（1分）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512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违法违规情况</w:t>
            </w:r>
          </w:p>
          <w:p>
            <w:pPr>
              <w:keepNext w:val="0"/>
              <w:keepLines w:val="0"/>
              <w:pageBreakBefore w:val="0"/>
              <w:tabs>
                <w:tab w:val="left" w:pos="37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1、无违法违纪行为，不参与黄、赌、毒活动。如出现投诉，举报或法律援助案件、人民调解案件收费等行为，一经查实，一票否决，年内不得评先评优。（2分）2、自觉遵守党的“八项规定”和廉洁自律各项要求。（1分）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51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基   层 工 作  46 分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1、按照星级司法所创建要求，建立健全各项台帐。（2.5分。少建立一项或不规范扣0.3分）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2、按时上报各类报表，及时汇报重大事项，并有纸制档案。（2分。少一项扣0.4分；不及时汇报重大事项造成影响或被通报扣3分。）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3、年初有安排、半年有小结、全年有总结。（1分。少一项扣0.5分）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4、每月至少上报1篇规范人民调解案例或专项行动动态信息。（3分。不按时上报或少报一篇扣0.5分）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5、历年来各项档案资料装订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归档装订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。（0.5分）</w:t>
            </w:r>
          </w:p>
          <w:p>
            <w:pPr>
              <w:keepNext w:val="0"/>
              <w:keepLines w:val="0"/>
              <w:pageBreakBefore w:val="0"/>
              <w:tabs>
                <w:tab w:val="left" w:pos="64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6、按要求窗口建设建设要求，保持所容所貌整洁规范。（1分。被区、市、县明查暗访通报1次扣1分）</w:t>
            </w:r>
          </w:p>
        </w:tc>
        <w:tc>
          <w:tcPr>
            <w:tcW w:w="2307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512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人民调解及矛盾纠纷排查工作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13分</w:t>
            </w:r>
          </w:p>
        </w:tc>
        <w:tc>
          <w:tcPr>
            <w:tcW w:w="10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人民调解组织机构健全，调解员、专家库登记齐全。（1分。少一项扣0.5分）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每季度举办一次村（居）调解员培训班。（1分。少一次或资料不齐全扣1分）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规范制作人民调解卷宗，并指导村（居）调委会调解和制作文书。（1分。季度未上报调解卷扣1分，村级有卷加1分；重复做卷或被投诉、造假、收费经查实扣3分）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4、以案定补资料齐全。（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分。少一项扣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5、建立矛盾纠纷两排查一分析机制。重大节假日要有排查调处安排。（1.5分。每少一项扣0.5分）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矛盾纠纷“大排查大调处”行动资料齐全。（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7、按规定录入矛盾纠纷排查调处案件。（1分）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、参与信访矛盾化解情况，完成人民调解为民办实事任务数，纠纷调解成功率96%以上。（2分。调处不及时或不得当导致矛盾激化，造成民转刑、自杀、群体性上访等严重后果的扣10分；调解员违规违纪造成严重后果的经查实扣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9、创新亮点工作。（1分）</w:t>
            </w:r>
          </w:p>
        </w:tc>
        <w:tc>
          <w:tcPr>
            <w:tcW w:w="23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31" w:tblpY="833"/>
        <w:tblOverlap w:val="never"/>
        <w:tblW w:w="14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69"/>
        <w:gridCol w:w="1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76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 xml:space="preserve">法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color w:val="000000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规范化工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作站建设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2分</w:t>
            </w:r>
          </w:p>
        </w:tc>
        <w:tc>
          <w:tcPr>
            <w:tcW w:w="12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1、规范使用下发的各类法律援助工作台帐；（1.0分）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2、做好便民示范服务窗口建设工作,有醒目的公共法律服务中心标识标牌。（1.0分）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76" w:type="dxa"/>
            <w:vMerge w:val="continue"/>
            <w:tcBorders>
              <w:top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工作指标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7分</w:t>
            </w:r>
          </w:p>
        </w:tc>
        <w:tc>
          <w:tcPr>
            <w:tcW w:w="1203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接待群众来访和法律咨询服务，免费为群众提供法律咨询服务每所每季度记录在案的不低于50人次，全年不少于200人次。（2.0分）（陶乐、红崖子、高仁等所每季度不少于40人次，全年不少于160人次。）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免费代写法律文书每所每季度不少于3份（2.0分）；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3、参与指导、考核各村(社区)公共法律服务工作室工作和各村(社区)法律顾问工作，村（社区）公共法律服务工作室建成率100%（3分）；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、引导法律援助、律师、公证、司法鉴定等法律业务，负责法律援助申请初审，有效引导村民向村级法律顾问寻求法律帮助；组织开展人民调解、法治宣传教育，引导告知刑满释放人员安置帮教政策、救助帮扶途径等；积极为辖区政府机关、企事业单位、社会组织等提供法律顾问咨询，发生一例以上内容被投诉则全扣。（2.0分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76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法律援助进村（居）和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进移民村（居）活动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2分</w:t>
            </w:r>
          </w:p>
        </w:tc>
        <w:tc>
          <w:tcPr>
            <w:tcW w:w="1203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发挥专业优势，深入村居开展服务工作。全年指导督查联系点开展工作2次以上，对联系点人员进行专门培训2次以上（看记录）。（2.0分）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76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信息、案例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对外宣传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3分</w:t>
            </w:r>
          </w:p>
        </w:tc>
        <w:tc>
          <w:tcPr>
            <w:tcW w:w="1203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每所每季度上报高质量信息1篇，全年不少于4篇。每所年内信息被法援中心采纳2篇以上或在县级（含县级）以上媒体上登载案例或信息1篇。（2.0分）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76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宣传培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训工作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4分</w:t>
            </w:r>
          </w:p>
        </w:tc>
        <w:tc>
          <w:tcPr>
            <w:tcW w:w="1203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1、参加各类法律援助业务培训；（1分）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2、做好法律援助和彩票公益金项目宣传，全年户外大型宣传不少于2次，各类培训班等宣传不少于2次，利用宣传墙、屏幕等方式进行宣传。（1.0分）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3、按时举行“法律援助宣传月”活动，有活动信息、图片，宣传月活动总结于活动结束时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积极上报法援中心。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6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left="113" w:right="0" w:rightChars="0" w:firstLine="0" w:firstLineChars="0"/>
              <w:jc w:val="center"/>
              <w:outlineLvl w:val="9"/>
              <w:rPr>
                <w:rFonts w:hint="eastAsia"/>
                <w:bCs/>
                <w:color w:val="000000"/>
              </w:rPr>
            </w:pPr>
          </w:p>
        </w:tc>
        <w:tc>
          <w:tcPr>
            <w:tcW w:w="146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加分项目</w:t>
            </w:r>
          </w:p>
        </w:tc>
        <w:tc>
          <w:tcPr>
            <w:tcW w:w="1203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临时性、突破性工作。</w:t>
            </w:r>
          </w:p>
        </w:tc>
      </w:tr>
    </w:tbl>
    <w:tbl>
      <w:tblPr>
        <w:tblStyle w:val="7"/>
        <w:tblpPr w:leftFromText="180" w:rightFromText="180" w:vertAnchor="text" w:horzAnchor="page" w:tblpX="1341" w:tblpY="73"/>
        <w:tblOverlap w:val="never"/>
        <w:tblW w:w="1416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856"/>
        <w:gridCol w:w="1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“七五”普法及“法治县”创建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工作4分</w:t>
            </w:r>
          </w:p>
        </w:tc>
        <w:tc>
          <w:tcPr>
            <w:tcW w:w="117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配合乡镇制定2018年普法工作要点、“法治县”创建工作方案，半年小结（4分）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33" w:type="dxa"/>
            <w:vMerge w:val="continue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法治宣传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7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配合乡镇开展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学习宣传宪法主题实践活动情况，制定方案、宪法“六进”、学习笔记、学习心得、讲座、宣传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2、配合乡镇落实普法责任制情况、“四清单一办法”制作公示情况（2分）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开展“生态立区 法治同行”主题实践宣传活动，开展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生态环境保护相关法律法规的宣传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“法律八进”宣传教育活动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6次以上，受教育群众1500人次以上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、开展青少年法治宣传教育活动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次以上（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开展领导干部法治宣传教育活动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次以上（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33" w:type="dxa"/>
            <w:vMerge w:val="continue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7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法治宣传信息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每所每月不少于2篇（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分）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，法治宣传案例每所每季度不少于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1篇（1分）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Merge w:val="continue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依法治理2分</w:t>
            </w:r>
          </w:p>
        </w:tc>
        <w:tc>
          <w:tcPr>
            <w:tcW w:w="117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配合乡镇制定201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依法治县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工作要点（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分）</w:t>
            </w:r>
          </w:p>
        </w:tc>
      </w:tr>
    </w:tbl>
    <w:p>
      <w:pPr>
        <w:keepNext w:val="0"/>
        <w:keepLines w:val="0"/>
        <w:pageBreakBefore w:val="0"/>
        <w:tabs>
          <w:tab w:val="left" w:pos="1770"/>
        </w:tabs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right="0" w:rightChars="0" w:firstLine="0" w:firstLineChars="0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right="0" w:rightChars="0" w:firstLine="0" w:firstLineChars="0"/>
        <w:jc w:val="right"/>
        <w:outlineLvl w:val="9"/>
        <w:rPr>
          <w:rFonts w:hint="eastAsia" w:ascii="黑体" w:eastAsia="黑体"/>
          <w:bCs/>
          <w:color w:val="000000"/>
          <w:szCs w:val="21"/>
        </w:rPr>
      </w:pPr>
    </w:p>
    <w:p>
      <w:pPr>
        <w:rPr>
          <w:rFonts w:hint="eastAsia"/>
          <w:color w:val="000000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A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A30FD"/>
    <w:rsid w:val="28525750"/>
    <w:rsid w:val="48B96752"/>
    <w:rsid w:val="4F3D5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uiPriority w:val="0"/>
    <w:rPr>
      <w:sz w:val="18"/>
      <w:szCs w:val="18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8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信念技术论坛</Company>
  <Pages>14</Pages>
  <Words>704</Words>
  <Characters>4013</Characters>
  <Lines>33</Lines>
  <Paragraphs>9</Paragraphs>
  <TotalTime>15</TotalTime>
  <ScaleCrop>false</ScaleCrop>
  <LinksUpToDate>false</LinksUpToDate>
  <CharactersWithSpaces>4708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2016-12-20T07:56:00Z</dcterms:created>
  <dc:creator>微软用户</dc:creator>
  <cp:lastModifiedBy>平罗县司法局收文员</cp:lastModifiedBy>
  <cp:lastPrinted>2018-06-25T01:36:01Z</cp:lastPrinted>
  <dcterms:modified xsi:type="dcterms:W3CDTF">2018-08-07T07:29:32Z</dcterms:modified>
  <dc:title>             平司发〔2017〕81号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