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zh-CN"/>
        </w:rPr>
        <w:t>平罗县市场监督管理局20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zh-CN"/>
        </w:rPr>
        <w:t>年“安全生产月”活动实施方案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eastAsia" w:ascii="仿宋" w:hAnsi="仿宋" w:eastAsia="仿宋" w:cs="宋体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Cs w:val="32"/>
          <w:lang w:val="zh-CN"/>
        </w:rPr>
        <w:t>为全面贯彻落实党中央、国务院以及区、市、县各级党委政府关于安全生产工作的决策部署，广泛深入开展“安全生产月”活动，结合《平罗县安委会办公室关于开展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2021年全县“安全生产月”活动的通知</w:t>
      </w:r>
      <w:r>
        <w:rPr>
          <w:rFonts w:hint="eastAsia" w:ascii="仿宋" w:hAnsi="仿宋" w:eastAsia="仿宋" w:cs="仿宋"/>
          <w:kern w:val="0"/>
          <w:szCs w:val="32"/>
          <w:lang w:val="zh-CN"/>
        </w:rPr>
        <w:t>》（平安委办发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〔20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Cs w:val="32"/>
          <w:lang w:val="zh-CN"/>
        </w:rPr>
        <w:t>号）要求，结合我局实际情况，制定本方案。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Cs w:val="32"/>
          <w:lang w:val="zh-CN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Cs w:val="32"/>
          <w:lang w:val="zh-CN" w:eastAsia="zh-CN"/>
        </w:rPr>
      </w:pPr>
      <w:r>
        <w:rPr>
          <w:rFonts w:hint="eastAsia" w:ascii="仿宋" w:hAnsi="仿宋" w:eastAsia="仿宋" w:cs="仿宋"/>
          <w:kern w:val="0"/>
          <w:szCs w:val="32"/>
          <w:lang w:val="zh-CN"/>
        </w:rPr>
        <w:t>深入学习宣传习近平总书记关于安全生产的重要论述精神，贯彻落实党中央、国务院以及区、市、县党委政府关于安全生产工作的决策部署，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深度融合正在开展的党史学习教育，紧扣“落实安全责任，推动安全发展”的主题，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通过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电视专题片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、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开展专项整治活动、问题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隐患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警示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曝光、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安全宣传咨询、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问题整改、经验推广、案例警示、监督举报、知识普及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、文艺作品创作、科普宣传等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活动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，增强各级安全意识，提升全员安全素质，压紧压实安全责任，扎实推进安全生产专项整治三年行动集中攻坚，守牢守稳安全底线</w:t>
      </w:r>
      <w:r>
        <w:rPr>
          <w:rFonts w:hint="default" w:ascii="仿宋" w:hAnsi="仿宋" w:eastAsia="仿宋" w:cs="仿宋"/>
          <w:kern w:val="0"/>
          <w:szCs w:val="32"/>
          <w:lang w:val="zh-CN"/>
        </w:rPr>
        <w:t>，</w:t>
      </w:r>
      <w:r>
        <w:rPr>
          <w:rFonts w:hint="eastAsia" w:ascii="仿宋" w:hAnsi="仿宋" w:eastAsia="仿宋" w:cs="仿宋"/>
          <w:kern w:val="0"/>
          <w:szCs w:val="32"/>
          <w:lang w:val="zh-CN" w:eastAsia="zh-CN"/>
        </w:rPr>
        <w:t>为全县高质量发展提供坚实的安全保障。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二、</w:t>
      </w:r>
      <w:r>
        <w:rPr>
          <w:rFonts w:hint="eastAsia" w:ascii="黑体" w:hAnsi="黑体" w:eastAsia="黑体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年“安全生产月”活动将于6月1日至30日在全县范围内统一开展，以“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落实安全责任，推动安全发展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”为主题。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.开展安全发展主题宣讲活动。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Cs w:val="32"/>
          <w:lang w:eastAsia="zh-CN"/>
        </w:rPr>
        <w:t>结合党史学习教育，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安排理论学习中心组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深入学习习近平总书记关于安全生产重要论述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专题学习不少于1次，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观看《生命重于泰山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---学习习近平总书记关于安全生产重要论述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》电视专题片，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加深对习近平总书记关于安全生产重要论述的理解，牢固树立安全发展理念，增强从根本上消除事故隐患的思想自觉和行动自觉。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通过领导干部带头讲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的方式开展“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安全生产大讲堂”，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专家学者深入讲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的方式开展“安全生产公开课”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“特种设备微课堂”，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一线人员互动讲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的方式开展“安全生产在线访谈”等学习形式，持续推进习近平总书记关于安全生产重要论述走深走实、入脑入心、见行见效，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经济建设又好又快的发展提供坚强安全保障。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.开展“专项整治集中攻坚战”主题宣传活动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紧密结合《全县安全生产专项整治三年行动方案》中的工作任务，开展气瓶安全专项整治集中攻坚战专题活动。通过微信公众号、微博、报刊充分报道集中攻坚气瓶专项整治重点任务进展情况、工作成效，注重总结宣传好的经验做法，推广工作成果。发动辖区重点企业职工开展“安全红袖章”“事故隐患大扫除”“争做安全吹哨人”行动，对事故易发多发、易造成人员伤亡的重点环节进行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细致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自查自纠，强化源头治理，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真正做到把风险管控挺在隐患之前，把隐患排查治理挺在事故之前。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.开展好“安全生产宁夏行”活动。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疫情常态化防控形式，围绕“安全生产三年专项行动”、“百日专项整治行动”，开展具有地方特色和行业特点的区域行、专题行活动。通过网上行活动，加大精准宣传力度，总结推广一批先进典型和好的经验做法。深入安全生产重点区域、重点场所开展有针对性的明查暗访活动，曝光一批存在安全隐患、责任不落实、监管流于形式的反面典型，借助媒体力量监督整改。要用好“12350”举报电话，鼓励广大群众特别是企业员工举报重大隐患和违法违规行为。发挥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安全生产中的监督作用，鼓励动员企业职工及家属、媒体、社会热心人士积极举报。同时，定期观看典型事故警示教育片，以案说法的方式引起生产安全靠大家的共鸣，引导企业和一线工作人员吸取事故教训，树牢安全发展理念，提高安全生产的自觉性、主动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.开展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好“</w:t>
      </w: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6·16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安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全生产宣传咨询日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活动。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各所要在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6月</w:t>
      </w:r>
      <w:r>
        <w:rPr>
          <w:rFonts w:hint="eastAsia" w:ascii="仿宋_GB2312" w:hAnsi="仿宋_GB2312" w:cs="仿宋_GB2312"/>
          <w:szCs w:val="32"/>
          <w:lang w:val="en-US" w:eastAsia="zh-CN"/>
        </w:rPr>
        <w:t>16日集中</w:t>
      </w:r>
      <w:r>
        <w:rPr>
          <w:rFonts w:hint="eastAsia" w:ascii="仿宋_GB2312" w:hAnsi="仿宋_GB2312" w:eastAsia="仿宋_GB2312" w:cs="仿宋_GB2312"/>
          <w:szCs w:val="32"/>
        </w:rPr>
        <w:t>开展“全国安全生产宣传咨询日”活动，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发放宣传资料、设现场咨询问答台，</w:t>
      </w:r>
      <w:r>
        <w:rPr>
          <w:rFonts w:hint="eastAsia" w:ascii="仿宋_GB2312" w:hAnsi="仿宋_GB2312" w:eastAsia="仿宋_GB2312" w:cs="仿宋_GB2312"/>
          <w:szCs w:val="32"/>
        </w:rPr>
        <w:t>向广大群众宣传习近平总书记关于安全生产的重要论述精神、安全生产方针政策、法律法规、气瓶安全使用常识、电梯安全使用常识等安全科普知识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，扩大宣传面，提高社会参与度</w:t>
      </w:r>
      <w:r>
        <w:rPr>
          <w:rFonts w:hint="eastAsia" w:ascii="仿宋_GB2312" w:hAnsi="仿宋_GB2312" w:eastAsia="仿宋_GB2312" w:cs="仿宋_GB2312"/>
          <w:szCs w:val="32"/>
        </w:rPr>
        <w:t>。</w:t>
      </w:r>
      <w:r>
        <w:rPr>
          <w:rFonts w:hint="eastAsia" w:ascii="仿宋_GB2312" w:hAnsi="仿宋_GB2312" w:cs="仿宋_GB2312"/>
          <w:szCs w:val="32"/>
          <w:lang w:eastAsia="zh-CN"/>
        </w:rPr>
        <w:t>特种设备安全监察室将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组织全局人员积极参与国务院安委会办公室组织开展的“回顾安全生产月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20年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”网上展览和“测测你的安全力”知识竞赛，并将竞赛参与情况进行上报。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展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特种设备安全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宣传教育“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进”专题行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活动。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eastAsia="zh-CN"/>
        </w:rPr>
        <w:t>紧密结合“我为群众办实事”实践活动，开展特种设备安全“七进”宣传教育活动。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进企业、进校园、进机关、进社区、进农村、进家庭、进公共场所活动，提高全民安全意识和安全素质，营造全社会关注、支持、参与安全生产的良好氛围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Cs w:val="32"/>
        </w:rPr>
        <w:t>各市场监管所至少</w:t>
      </w:r>
      <w:r>
        <w:rPr>
          <w:rFonts w:hint="eastAsia" w:ascii="仿宋_GB2312" w:hAnsi="仿宋_GB2312" w:cs="仿宋_GB2312"/>
          <w:szCs w:val="32"/>
          <w:lang w:eastAsia="zh-CN"/>
        </w:rPr>
        <w:t>要参加</w:t>
      </w:r>
      <w:r>
        <w:rPr>
          <w:rFonts w:hint="eastAsia" w:ascii="仿宋_GB2312" w:hAnsi="仿宋_GB2312" w:eastAsia="仿宋_GB2312" w:cs="仿宋_GB2312"/>
          <w:szCs w:val="32"/>
        </w:rPr>
        <w:t>一次</w:t>
      </w:r>
      <w:r>
        <w:rPr>
          <w:rFonts w:hint="eastAsia" w:ascii="仿宋_GB2312" w:hAnsi="仿宋_GB2312" w:cs="仿宋_GB2312"/>
          <w:szCs w:val="32"/>
          <w:lang w:eastAsia="zh-CN"/>
        </w:rPr>
        <w:t>辖区</w:t>
      </w:r>
      <w:r>
        <w:rPr>
          <w:rFonts w:hint="eastAsia" w:ascii="仿宋_GB2312" w:hAnsi="仿宋_GB2312" w:eastAsia="仿宋_GB2312" w:cs="仿宋_GB2312"/>
          <w:szCs w:val="32"/>
        </w:rPr>
        <w:t>特种设备安全生产应急救援、自救互救演练</w:t>
      </w:r>
      <w:r>
        <w:rPr>
          <w:rFonts w:hint="eastAsia" w:ascii="仿宋_GB2312" w:hAnsi="仿宋_GB2312" w:cs="仿宋_GB231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2"/>
        </w:rPr>
        <w:t>演练要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Cs w:val="32"/>
        </w:rPr>
        <w:t>贴近实战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为目标，通过演练查摆问题，</w:t>
      </w:r>
      <w:r>
        <w:rPr>
          <w:rFonts w:hint="eastAsia" w:ascii="仿宋_GB2312" w:hAnsi="仿宋_GB2312" w:eastAsia="仿宋_GB2312" w:cs="仿宋_GB2312"/>
          <w:szCs w:val="32"/>
        </w:rPr>
        <w:t>完善优化预案,</w:t>
      </w:r>
      <w:r>
        <w:rPr>
          <w:rFonts w:hint="eastAsia" w:ascii="仿宋_GB2312" w:hAnsi="仿宋_GB2312" w:cs="仿宋_GB2312"/>
          <w:szCs w:val="32"/>
          <w:lang w:eastAsia="zh-CN"/>
        </w:rPr>
        <w:t>督促企业</w:t>
      </w:r>
      <w:r>
        <w:rPr>
          <w:rFonts w:hint="eastAsia" w:ascii="仿宋_GB2312" w:hAnsi="仿宋_GB2312" w:eastAsia="仿宋_GB2312" w:cs="仿宋_GB2312"/>
          <w:szCs w:val="32"/>
        </w:rPr>
        <w:t>加大装备物资投入,注重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专业人员</w:t>
      </w:r>
      <w:r>
        <w:rPr>
          <w:rFonts w:hint="eastAsia" w:ascii="仿宋_GB2312" w:hAnsi="仿宋_GB2312" w:eastAsia="仿宋_GB2312" w:cs="仿宋_GB2312"/>
          <w:szCs w:val="32"/>
        </w:rPr>
        <w:t>培养</w:t>
      </w:r>
      <w:r>
        <w:rPr>
          <w:rFonts w:hint="eastAsia" w:ascii="仿宋_GB2312" w:hAnsi="仿宋_GB2312" w:cs="仿宋_GB2312"/>
          <w:szCs w:val="32"/>
          <w:lang w:eastAsia="zh-CN"/>
        </w:rPr>
        <w:t>，要求企业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zCs w:val="32"/>
        </w:rPr>
        <w:t>组织开展应急预案、应急知识、自救互救和避险逃生技能方面的培训，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并将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标准规范制度上墙上网，推动企业职工熟悉标准、掌握技能、维护权益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Cs w:val="32"/>
        </w:rPr>
        <w:t>提高防灾减灾和应急处置能力。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三</w:t>
      </w:r>
      <w:r>
        <w:rPr>
          <w:rFonts w:hint="eastAsia"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  <w:lang w:eastAsia="zh-CN"/>
        </w:rPr>
        <w:t>工作</w:t>
      </w:r>
      <w:r>
        <w:rPr>
          <w:rFonts w:hint="eastAsia" w:ascii="黑体" w:hAnsi="黑体" w:eastAsia="黑体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统一思想，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提高认识。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所要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思想和行动统一到习近平总书记关于安全生产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工作的重要指示批示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精神上来，牢固树立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“两个至上”的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理念，进一步提高对安全生产宣传教育工作的认识，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进一步提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安全生产宣传教育工作的摆位，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组织开展好“安全生产月”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“安全生产宁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夏行”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活动纳入重点工作，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统筹推进，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确保各项措施落实落细。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强化宣传，务求实效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市场监管所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媒体资源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拓宽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宣传渠道、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丰富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充实宣传内容，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开展针对性和实效性宣传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营造全社会关心安全生产、参与安全发展的良好氛围。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所于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7月1日前上报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“安全生产月”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小结、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进展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情况统计表和过程资料（包括活动简报、集中宣传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影像资料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及应急演练资料等）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纸质材料签字盖章后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报送至县局特设室，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电子版发至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刘力超</w:t>
      </w:r>
      <w:r>
        <w:rPr>
          <w:rFonts w:hint="eastAsia" w:ascii="仿宋_GB2312" w:hAnsi="仿宋_GB2312" w:eastAsia="仿宋_GB2312" w:cs="仿宋_GB2312"/>
          <w:sz w:val="32"/>
          <w:szCs w:val="32"/>
        </w:rPr>
        <w:t>OA或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电子邮箱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tsk3816015@163.com。</w:t>
      </w:r>
    </w:p>
    <w:p>
      <w:pPr>
        <w:spacing w:line="420" w:lineRule="exact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984" w:right="1587" w:bottom="1814" w:left="1587" w:header="851" w:footer="1015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FE1"/>
    <w:rsid w:val="00143B76"/>
    <w:rsid w:val="00154D0C"/>
    <w:rsid w:val="0024696C"/>
    <w:rsid w:val="003A3DEF"/>
    <w:rsid w:val="0044590A"/>
    <w:rsid w:val="00626191"/>
    <w:rsid w:val="00723581"/>
    <w:rsid w:val="008A2C2F"/>
    <w:rsid w:val="008B3E34"/>
    <w:rsid w:val="009023AB"/>
    <w:rsid w:val="00BE3A19"/>
    <w:rsid w:val="00D27EFF"/>
    <w:rsid w:val="00D45933"/>
    <w:rsid w:val="00DE190B"/>
    <w:rsid w:val="00E007B9"/>
    <w:rsid w:val="074B2C8B"/>
    <w:rsid w:val="0924651B"/>
    <w:rsid w:val="09F9414C"/>
    <w:rsid w:val="0A275915"/>
    <w:rsid w:val="0E0002A6"/>
    <w:rsid w:val="0E9A22CB"/>
    <w:rsid w:val="112A7E82"/>
    <w:rsid w:val="12B25D3A"/>
    <w:rsid w:val="13F206F7"/>
    <w:rsid w:val="14351F68"/>
    <w:rsid w:val="180D40EC"/>
    <w:rsid w:val="181134A7"/>
    <w:rsid w:val="1A986B4C"/>
    <w:rsid w:val="1B24238B"/>
    <w:rsid w:val="1BB2573E"/>
    <w:rsid w:val="1C694D23"/>
    <w:rsid w:val="1C9E6E53"/>
    <w:rsid w:val="1CA60CEC"/>
    <w:rsid w:val="1D6B7A14"/>
    <w:rsid w:val="1F952F80"/>
    <w:rsid w:val="208F2FC0"/>
    <w:rsid w:val="21C302C3"/>
    <w:rsid w:val="223619DA"/>
    <w:rsid w:val="24E925AA"/>
    <w:rsid w:val="2AA24C10"/>
    <w:rsid w:val="2D5A08A2"/>
    <w:rsid w:val="2E365A5D"/>
    <w:rsid w:val="2F3411F3"/>
    <w:rsid w:val="32F66EE2"/>
    <w:rsid w:val="34C23061"/>
    <w:rsid w:val="34E643EE"/>
    <w:rsid w:val="363D666A"/>
    <w:rsid w:val="37CF3096"/>
    <w:rsid w:val="37EF28A0"/>
    <w:rsid w:val="37F01FDD"/>
    <w:rsid w:val="388448D6"/>
    <w:rsid w:val="3A5B6702"/>
    <w:rsid w:val="3BB520B1"/>
    <w:rsid w:val="3BE212C0"/>
    <w:rsid w:val="3BED289B"/>
    <w:rsid w:val="3DDB0962"/>
    <w:rsid w:val="3E702999"/>
    <w:rsid w:val="3ECA2CC6"/>
    <w:rsid w:val="414944F9"/>
    <w:rsid w:val="437C1BEB"/>
    <w:rsid w:val="44F300F1"/>
    <w:rsid w:val="45707B7F"/>
    <w:rsid w:val="463A3461"/>
    <w:rsid w:val="48571B54"/>
    <w:rsid w:val="4BCC5BA4"/>
    <w:rsid w:val="4F1234E1"/>
    <w:rsid w:val="502078C0"/>
    <w:rsid w:val="54125246"/>
    <w:rsid w:val="54977C8D"/>
    <w:rsid w:val="55E96A94"/>
    <w:rsid w:val="56714015"/>
    <w:rsid w:val="567D1A79"/>
    <w:rsid w:val="592A36EE"/>
    <w:rsid w:val="5B2C305E"/>
    <w:rsid w:val="5F7006E3"/>
    <w:rsid w:val="5FF21F2C"/>
    <w:rsid w:val="615C28DF"/>
    <w:rsid w:val="61C53B02"/>
    <w:rsid w:val="62C71ACD"/>
    <w:rsid w:val="63733417"/>
    <w:rsid w:val="63F613D7"/>
    <w:rsid w:val="643432D7"/>
    <w:rsid w:val="64383531"/>
    <w:rsid w:val="64652611"/>
    <w:rsid w:val="65303A55"/>
    <w:rsid w:val="68C926A3"/>
    <w:rsid w:val="6C050CE2"/>
    <w:rsid w:val="6CE0129E"/>
    <w:rsid w:val="6D163CB7"/>
    <w:rsid w:val="6D535020"/>
    <w:rsid w:val="6D971F33"/>
    <w:rsid w:val="6F7A0E7A"/>
    <w:rsid w:val="6FAA7829"/>
    <w:rsid w:val="6FE86481"/>
    <w:rsid w:val="70042411"/>
    <w:rsid w:val="70E32333"/>
    <w:rsid w:val="72790F11"/>
    <w:rsid w:val="72D71CC1"/>
    <w:rsid w:val="734074D3"/>
    <w:rsid w:val="734C3DF9"/>
    <w:rsid w:val="75014223"/>
    <w:rsid w:val="758E60B4"/>
    <w:rsid w:val="762C3874"/>
    <w:rsid w:val="77F314C8"/>
    <w:rsid w:val="78205EB0"/>
    <w:rsid w:val="78C86084"/>
    <w:rsid w:val="7A0F4E28"/>
    <w:rsid w:val="7CCF7FF6"/>
    <w:rsid w:val="7CD871A5"/>
    <w:rsid w:val="7DC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9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21">
    <w:name w:val="Default Paragraph Font"/>
    <w:link w:val="22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7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8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sz w:val="21"/>
    </w:rPr>
  </w:style>
  <w:style w:type="paragraph" w:styleId="12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8">
    <w:name w:val="Body Text First Indent 2"/>
    <w:basedOn w:val="8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 Char Char Char Char Char Char Char"/>
    <w:basedOn w:val="1"/>
    <w:link w:val="21"/>
    <w:qFormat/>
    <w:uiPriority w:val="0"/>
    <w:rPr>
      <w:rFonts w:ascii="Calibri" w:hAnsi="Calibri" w:eastAsia="宋体" w:cs="Times New Roman"/>
      <w:sz w:val="21"/>
    </w:rPr>
  </w:style>
  <w:style w:type="character" w:styleId="23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24">
    <w:name w:val="page number"/>
    <w:basedOn w:val="21"/>
    <w:qFormat/>
    <w:uiPriority w:val="0"/>
    <w:rPr>
      <w:rFonts w:ascii="Calibri" w:hAnsi="Calibri" w:eastAsia="宋体" w:cs="Times New Roman"/>
      <w:sz w:val="21"/>
    </w:rPr>
  </w:style>
  <w:style w:type="character" w:styleId="25">
    <w:name w:val="Hyperlink"/>
    <w:basedOn w:val="21"/>
    <w:unhideWhenUsed/>
    <w:qFormat/>
    <w:uiPriority w:val="99"/>
    <w:rPr>
      <w:rFonts w:ascii="Calibri" w:hAnsi="Calibri" w:eastAsia="宋体" w:cs="Times New Roman"/>
      <w:color w:val="0000FF"/>
      <w:sz w:val="21"/>
      <w:u w:val="single"/>
    </w:rPr>
  </w:style>
  <w:style w:type="paragraph" w:customStyle="1" w:styleId="26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  <w:style w:type="paragraph" w:customStyle="1" w:styleId="27">
    <w:name w:val="默认段落字体 Para Char Char Char Char"/>
    <w:basedOn w:val="1"/>
    <w:qFormat/>
    <w:uiPriority w:val="0"/>
    <w:rPr>
      <w:sz w:val="21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paragraph" w:customStyle="1" w:styleId="29">
    <w:name w:val="Char Char Char Char Char Char 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sz w:val="21"/>
      <w:szCs w:val="20"/>
    </w:rPr>
  </w:style>
  <w:style w:type="paragraph" w:customStyle="1" w:styleId="30">
    <w:name w:val=" Char Char Char Char"/>
    <w:basedOn w:val="1"/>
    <w:qFormat/>
    <w:uiPriority w:val="0"/>
    <w:rPr>
      <w:rFonts w:ascii="宋体" w:hAnsi="宋体" w:cs="Courier New"/>
      <w:sz w:val="36"/>
      <w:szCs w:val="36"/>
    </w:rPr>
  </w:style>
  <w:style w:type="paragraph" w:customStyle="1" w:styleId="31">
    <w:name w:val="style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 Char1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3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4">
    <w:name w:val=" 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5">
    <w:name w:val=" Char1 Char Char Char Char Char Char"/>
    <w:basedOn w:val="1"/>
    <w:qFormat/>
    <w:uiPriority w:val="0"/>
    <w:pPr>
      <w:autoSpaceDE w:val="0"/>
      <w:autoSpaceDN w:val="0"/>
    </w:pPr>
    <w:rPr>
      <w:szCs w:val="20"/>
    </w:rPr>
  </w:style>
  <w:style w:type="paragraph" w:customStyle="1" w:styleId="36">
    <w:name w:val="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7">
    <w:name w:val="Char1"/>
    <w:basedOn w:val="1"/>
    <w:qFormat/>
    <w:uiPriority w:val="0"/>
    <w:rPr>
      <w:sz w:val="21"/>
      <w:szCs w:val="20"/>
    </w:rPr>
  </w:style>
  <w:style w:type="paragraph" w:customStyle="1" w:styleId="38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sz w:val="21"/>
      <w:szCs w:val="20"/>
    </w:rPr>
  </w:style>
  <w:style w:type="paragraph" w:customStyle="1" w:styleId="39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40">
    <w:name w:val="apple-style-span"/>
    <w:basedOn w:val="21"/>
    <w:qFormat/>
    <w:uiPriority w:val="0"/>
    <w:rPr>
      <w:rFonts w:ascii="Calibri" w:hAnsi="Calibri" w:eastAsia="宋体" w:cs="Times New Roman"/>
      <w:sz w:val="21"/>
    </w:rPr>
  </w:style>
  <w:style w:type="character" w:customStyle="1" w:styleId="41">
    <w:name w:val="hei141"/>
    <w:qFormat/>
    <w:uiPriority w:val="0"/>
    <w:rPr>
      <w:rFonts w:hint="eastAsia" w:ascii="宋体" w:hAnsi="宋体" w:eastAsia="宋体" w:cs="Times New Roman"/>
      <w:color w:val="000000"/>
      <w:sz w:val="21"/>
      <w:szCs w:val="21"/>
      <w:u w:val="none"/>
    </w:rPr>
  </w:style>
  <w:style w:type="character" w:customStyle="1" w:styleId="42">
    <w:name w:val="t_tag"/>
    <w:basedOn w:val="21"/>
    <w:qFormat/>
    <w:uiPriority w:val="0"/>
    <w:rPr>
      <w:rFonts w:ascii="Calibri" w:hAnsi="Calibri" w:eastAsia="宋体" w:cs="Times New Roman"/>
      <w:sz w:val="21"/>
    </w:rPr>
  </w:style>
  <w:style w:type="character" w:customStyle="1" w:styleId="43">
    <w:name w:val="15"/>
    <w:qFormat/>
    <w:uiPriority w:val="0"/>
    <w:rPr>
      <w:rFonts w:ascii="Times New Roman" w:hAnsi="Times New Roman" w:eastAsia="宋体" w:cs="Times New Roman"/>
      <w:b/>
      <w:bCs/>
      <w:sz w:val="20"/>
    </w:rPr>
  </w:style>
  <w:style w:type="character" w:customStyle="1" w:styleId="44">
    <w:name w:val="content1"/>
    <w:basedOn w:val="21"/>
    <w:qFormat/>
    <w:uiPriority w:val="0"/>
    <w:rPr>
      <w:rFonts w:ascii="Calibri" w:hAnsi="Calibri" w:eastAsia="宋体" w:cs="Times New Roman"/>
      <w:sz w:val="21"/>
    </w:rPr>
  </w:style>
  <w:style w:type="paragraph" w:customStyle="1" w:styleId="45">
    <w:name w:val="p16"/>
    <w:basedOn w:val="1"/>
    <w:qFormat/>
    <w:uiPriority w:val="0"/>
    <w:pPr>
      <w:ind w:firstLine="643"/>
      <w:jc w:val="both"/>
    </w:pPr>
    <w:rPr>
      <w:rFonts w:ascii="仿宋_GB2312" w:hAnsi="Calibri" w:eastAsia="仿宋_GB2312" w:cs="仿宋_GB2312"/>
      <w:kern w:val="0"/>
      <w:sz w:val="32"/>
      <w:szCs w:val="32"/>
      <w:lang w:val="en-US" w:eastAsia="zh-CN" w:bidi="ar"/>
    </w:rPr>
  </w:style>
  <w:style w:type="character" w:customStyle="1" w:styleId="46">
    <w:name w:val="font101"/>
    <w:basedOn w:val="2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47">
    <w:name w:val="font151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8">
    <w:name w:val="font31"/>
    <w:basedOn w:val="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font161"/>
    <w:basedOn w:val="21"/>
    <w:qFormat/>
    <w:uiPriority w:val="0"/>
    <w:rPr>
      <w:rFonts w:hint="eastAsia" w:ascii="仿宋_GB2312" w:hAnsi="Calibri" w:eastAsia="仿宋_GB2312" w:cs="仿宋_GB2312"/>
      <w:b/>
      <w:color w:val="000000"/>
      <w:sz w:val="24"/>
      <w:szCs w:val="24"/>
      <w:u w:val="none"/>
    </w:rPr>
  </w:style>
  <w:style w:type="character" w:customStyle="1" w:styleId="50">
    <w:name w:val="font71"/>
    <w:basedOn w:val="21"/>
    <w:qFormat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  <w:style w:type="character" w:customStyle="1" w:styleId="51">
    <w:name w:val="font13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2">
    <w:name w:val="font91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2018-10-29T15:27:00Z</dcterms:created>
  <dc:creator>马文霞</dc:creator>
  <cp:lastModifiedBy>容我做个垃圾</cp:lastModifiedBy>
  <cp:lastPrinted>2021-03-29T18:12:00Z</cp:lastPrinted>
  <dcterms:modified xsi:type="dcterms:W3CDTF">2021-06-28T01:32:27Z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FAAFCE6698F3408A9DDD408264AAA797</vt:lpwstr>
  </property>
</Properties>
</file>