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EEE1" w14:textId="28D3B8B0" w:rsidR="00CA649D" w:rsidRDefault="00ED6D64">
      <w:pPr>
        <w:overflowPunct/>
        <w:topLinePunct w:val="0"/>
        <w:spacing w:line="560" w:lineRule="exact"/>
        <w:rPr>
          <w:rFonts w:eastAsia="黑体"/>
        </w:rPr>
      </w:pPr>
      <w:r>
        <w:rPr>
          <w:rFonts w:eastAsia="黑体"/>
        </w:rPr>
        <w:t>附件</w:t>
      </w:r>
      <w:r>
        <w:rPr>
          <w:rFonts w:eastAsia="黑体"/>
        </w:rPr>
        <w:t>3</w:t>
      </w:r>
    </w:p>
    <w:p w14:paraId="6D96FCC9" w14:textId="77777777" w:rsidR="00CA649D" w:rsidRDefault="00CA649D">
      <w:pPr>
        <w:overflowPunct/>
        <w:topLinePunct w:val="0"/>
        <w:spacing w:line="560" w:lineRule="exact"/>
        <w:rPr>
          <w:rFonts w:eastAsia="黑体"/>
        </w:rPr>
      </w:pPr>
    </w:p>
    <w:p w14:paraId="546CA886" w14:textId="77777777" w:rsidR="00CA649D" w:rsidRDefault="00ED6D64">
      <w:pPr>
        <w:overflowPunct/>
        <w:topLinePunct w:val="0"/>
        <w:spacing w:line="600" w:lineRule="exact"/>
        <w:jc w:val="center"/>
        <w:rPr>
          <w:rFonts w:eastAsia="方正小标宋简体"/>
          <w:sz w:val="44"/>
          <w:szCs w:val="44"/>
        </w:rPr>
      </w:pPr>
      <w:r>
        <w:rPr>
          <w:rFonts w:eastAsia="方正小标宋简体" w:hint="eastAsia"/>
          <w:sz w:val="44"/>
          <w:szCs w:val="44"/>
        </w:rPr>
        <w:t>“</w:t>
      </w:r>
      <w:r>
        <w:rPr>
          <w:rFonts w:eastAsia="方正小标宋简体"/>
          <w:sz w:val="44"/>
          <w:szCs w:val="44"/>
        </w:rPr>
        <w:t>黑气瓶</w:t>
      </w:r>
      <w:r>
        <w:rPr>
          <w:rFonts w:eastAsia="方正小标宋简体" w:hint="eastAsia"/>
          <w:sz w:val="44"/>
          <w:szCs w:val="44"/>
        </w:rPr>
        <w:t>”</w:t>
      </w:r>
      <w:r>
        <w:rPr>
          <w:rFonts w:eastAsia="方正小标宋简体"/>
          <w:sz w:val="44"/>
          <w:szCs w:val="44"/>
        </w:rPr>
        <w:t>整治巩固提升行动方案</w:t>
      </w:r>
    </w:p>
    <w:p w14:paraId="678A001C" w14:textId="77777777" w:rsidR="00CA649D" w:rsidRDefault="00CA649D">
      <w:pPr>
        <w:spacing w:line="560" w:lineRule="exact"/>
        <w:ind w:firstLine="640"/>
        <w:jc w:val="left"/>
        <w:rPr>
          <w:rFonts w:cs="仿宋_GB2312"/>
        </w:rPr>
      </w:pPr>
    </w:p>
    <w:p w14:paraId="34330D70" w14:textId="77777777" w:rsidR="00CA649D" w:rsidRDefault="00ED6D64">
      <w:pPr>
        <w:spacing w:line="560" w:lineRule="exact"/>
        <w:ind w:firstLine="640"/>
        <w:jc w:val="left"/>
        <w:rPr>
          <w:rFonts w:cs="仿宋_GB2312"/>
        </w:rPr>
      </w:pPr>
      <w:r>
        <w:rPr>
          <w:rFonts w:cs="仿宋_GB2312" w:hint="eastAsia"/>
          <w:color w:val="000000"/>
          <w:kern w:val="0"/>
          <w:lang w:bidi="ar"/>
        </w:rPr>
        <w:t>为落实国务院安委会全国城镇燃气安全排查整治工作部署，进一步做好燃气气瓶安全监管工作，减少安全隐患，筑牢安全底线，切实提高人民群众的获得感、幸福感、安全感，制定本方案。</w:t>
      </w:r>
    </w:p>
    <w:p w14:paraId="25973E4E" w14:textId="77777777" w:rsidR="00CA649D" w:rsidRDefault="00ED6D64">
      <w:pPr>
        <w:overflowPunct/>
        <w:topLinePunct w:val="0"/>
        <w:spacing w:line="600" w:lineRule="exact"/>
        <w:ind w:firstLineChars="200" w:firstLine="640"/>
        <w:rPr>
          <w:rFonts w:eastAsia="黑体"/>
        </w:rPr>
      </w:pPr>
      <w:r>
        <w:rPr>
          <w:rFonts w:eastAsia="黑体"/>
        </w:rPr>
        <w:t>一、</w:t>
      </w:r>
      <w:r>
        <w:rPr>
          <w:rFonts w:eastAsia="黑体" w:hint="eastAsia"/>
        </w:rPr>
        <w:t>主要目标</w:t>
      </w:r>
    </w:p>
    <w:p w14:paraId="363E0E27" w14:textId="77777777" w:rsidR="00CA649D" w:rsidRDefault="00ED6D64">
      <w:pPr>
        <w:overflowPunct/>
        <w:topLinePunct w:val="0"/>
        <w:spacing w:line="560" w:lineRule="exact"/>
        <w:ind w:firstLineChars="200" w:firstLine="640"/>
        <w:rPr>
          <w:rFonts w:cs="仿宋_GB2312"/>
        </w:rPr>
      </w:pPr>
      <w:r>
        <w:rPr>
          <w:rFonts w:cs="仿宋_GB2312" w:hint="eastAsia"/>
        </w:rPr>
        <w:t>巩固</w:t>
      </w:r>
      <w:r>
        <w:rPr>
          <w:rFonts w:cs="仿宋_GB2312" w:hint="eastAsia"/>
        </w:rPr>
        <w:t>2021</w:t>
      </w:r>
      <w:r>
        <w:rPr>
          <w:rFonts w:cs="仿宋_GB2312" w:hint="eastAsia"/>
        </w:rPr>
        <w:t>年总局“铁拳”行动暨翻新“黑气瓶”违法违规案件查办成果，推动燃气气瓶充装追溯体系建设，提升在用气瓶质量安全水平。</w:t>
      </w:r>
    </w:p>
    <w:p w14:paraId="05B1C384" w14:textId="77777777" w:rsidR="00CA649D" w:rsidRDefault="00ED6D64">
      <w:pPr>
        <w:overflowPunct/>
        <w:topLinePunct w:val="0"/>
        <w:spacing w:line="600" w:lineRule="exact"/>
        <w:ind w:firstLineChars="200" w:firstLine="640"/>
        <w:rPr>
          <w:rFonts w:eastAsia="仿宋"/>
        </w:rPr>
      </w:pPr>
      <w:r>
        <w:rPr>
          <w:rFonts w:eastAsia="黑体" w:hint="eastAsia"/>
        </w:rPr>
        <w:t>二、重点任务</w:t>
      </w:r>
    </w:p>
    <w:p w14:paraId="0FA64E29" w14:textId="77777777" w:rsidR="00CA649D" w:rsidRDefault="00ED6D64">
      <w:pPr>
        <w:overflowPunct/>
        <w:topLinePunct w:val="0"/>
        <w:spacing w:line="600" w:lineRule="exact"/>
        <w:ind w:firstLineChars="200" w:firstLine="640"/>
        <w:rPr>
          <w:color w:val="000000"/>
        </w:rPr>
      </w:pPr>
      <w:r>
        <w:rPr>
          <w:rFonts w:eastAsia="楷体"/>
          <w:color w:val="000000"/>
        </w:rPr>
        <w:t>（一）确保</w:t>
      </w:r>
      <w:r>
        <w:rPr>
          <w:color w:val="000000"/>
        </w:rPr>
        <w:t>气瓶</w:t>
      </w:r>
      <w:r>
        <w:rPr>
          <w:rFonts w:eastAsia="楷体"/>
          <w:color w:val="000000"/>
        </w:rPr>
        <w:t>产品质量</w:t>
      </w:r>
      <w:r>
        <w:rPr>
          <w:rFonts w:eastAsia="楷体" w:hint="eastAsia"/>
          <w:color w:val="000000"/>
        </w:rPr>
        <w:t>和</w:t>
      </w:r>
      <w:proofErr w:type="gramStart"/>
      <w:r>
        <w:rPr>
          <w:rFonts w:eastAsia="楷体" w:hint="eastAsia"/>
          <w:color w:val="000000"/>
        </w:rPr>
        <w:t>可</w:t>
      </w:r>
      <w:proofErr w:type="gramEnd"/>
      <w:r>
        <w:rPr>
          <w:rFonts w:eastAsia="楷体" w:hint="eastAsia"/>
          <w:color w:val="000000"/>
        </w:rPr>
        <w:t>追溯性</w:t>
      </w:r>
    </w:p>
    <w:p w14:paraId="7A113F00" w14:textId="77777777" w:rsidR="00CA649D" w:rsidRDefault="00ED6D64">
      <w:pPr>
        <w:overflowPunct/>
        <w:topLinePunct w:val="0"/>
        <w:spacing w:line="600" w:lineRule="exact"/>
        <w:ind w:firstLineChars="200" w:firstLine="640"/>
        <w:rPr>
          <w:color w:val="000000"/>
        </w:rPr>
      </w:pPr>
      <w:r>
        <w:rPr>
          <w:color w:val="000000"/>
        </w:rPr>
        <w:t>气瓶制造单位应当严格执行《气瓶安全技术规程》、产品标准和有关文件的要求，保障新出厂气瓶产品质量安全</w:t>
      </w:r>
      <w:r>
        <w:rPr>
          <w:rFonts w:hint="eastAsia"/>
          <w:color w:val="000000"/>
        </w:rPr>
        <w:t>和</w:t>
      </w:r>
      <w:proofErr w:type="gramStart"/>
      <w:r>
        <w:rPr>
          <w:rFonts w:hint="eastAsia"/>
          <w:color w:val="000000"/>
        </w:rPr>
        <w:t>可</w:t>
      </w:r>
      <w:proofErr w:type="gramEnd"/>
      <w:r>
        <w:rPr>
          <w:rFonts w:hint="eastAsia"/>
          <w:color w:val="000000"/>
        </w:rPr>
        <w:t>追溯性</w:t>
      </w:r>
      <w:r>
        <w:rPr>
          <w:color w:val="000000"/>
        </w:rPr>
        <w:t>。气瓶制造监督检验机构应加强气瓶制造过程监检，发现</w:t>
      </w:r>
      <w:r>
        <w:rPr>
          <w:rFonts w:hint="eastAsia"/>
          <w:color w:val="000000"/>
        </w:rPr>
        <w:t>燃气气瓶存在</w:t>
      </w:r>
      <w:proofErr w:type="gramStart"/>
      <w:r>
        <w:rPr>
          <w:color w:val="000000"/>
        </w:rPr>
        <w:t>未逐</w:t>
      </w:r>
      <w:proofErr w:type="gramEnd"/>
      <w:r>
        <w:rPr>
          <w:color w:val="000000"/>
        </w:rPr>
        <w:t>只</w:t>
      </w:r>
      <w:r>
        <w:rPr>
          <w:rFonts w:hint="eastAsia"/>
          <w:color w:val="000000"/>
        </w:rPr>
        <w:t>进行水压实验、</w:t>
      </w:r>
      <w:proofErr w:type="gramStart"/>
      <w:r>
        <w:rPr>
          <w:color w:val="000000"/>
        </w:rPr>
        <w:t>未逐</w:t>
      </w:r>
      <w:proofErr w:type="gramEnd"/>
      <w:r>
        <w:rPr>
          <w:color w:val="000000"/>
        </w:rPr>
        <w:t>只设置永久性电子识读标志</w:t>
      </w:r>
      <w:r>
        <w:rPr>
          <w:rFonts w:hint="eastAsia"/>
          <w:color w:val="000000"/>
        </w:rPr>
        <w:t>或无法</w:t>
      </w:r>
      <w:r>
        <w:rPr>
          <w:color w:val="000000"/>
        </w:rPr>
        <w:t>实现</w:t>
      </w:r>
      <w:r>
        <w:rPr>
          <w:rFonts w:hint="eastAsia"/>
          <w:color w:val="000000"/>
        </w:rPr>
        <w:t>手机扫描</w:t>
      </w:r>
      <w:r>
        <w:rPr>
          <w:color w:val="000000"/>
        </w:rPr>
        <w:t>查询</w:t>
      </w:r>
      <w:r>
        <w:rPr>
          <w:rFonts w:hint="eastAsia"/>
          <w:color w:val="000000"/>
        </w:rPr>
        <w:t>制造数据信息、</w:t>
      </w:r>
      <w:proofErr w:type="gramStart"/>
      <w:r>
        <w:rPr>
          <w:rFonts w:hint="eastAsia"/>
          <w:color w:val="000000"/>
        </w:rPr>
        <w:t>未</w:t>
      </w:r>
      <w:r>
        <w:rPr>
          <w:color w:val="000000"/>
        </w:rPr>
        <w:t>逐</w:t>
      </w:r>
      <w:proofErr w:type="gramEnd"/>
      <w:r>
        <w:rPr>
          <w:color w:val="000000"/>
        </w:rPr>
        <w:t>只</w:t>
      </w:r>
      <w:r>
        <w:rPr>
          <w:rFonts w:hint="eastAsia"/>
          <w:color w:val="000000"/>
        </w:rPr>
        <w:t>在封头上凹印充装单位标志</w:t>
      </w:r>
      <w:r>
        <w:rPr>
          <w:color w:val="000000"/>
        </w:rPr>
        <w:t>等</w:t>
      </w:r>
      <w:r>
        <w:rPr>
          <w:rFonts w:hint="eastAsia"/>
          <w:color w:val="000000"/>
        </w:rPr>
        <w:t>违反《</w:t>
      </w:r>
      <w:r>
        <w:rPr>
          <w:color w:val="000000"/>
        </w:rPr>
        <w:t>气瓶安全技术规程</w:t>
      </w:r>
      <w:r>
        <w:rPr>
          <w:rFonts w:hint="eastAsia"/>
          <w:color w:val="000000"/>
        </w:rPr>
        <w:t>》的</w:t>
      </w:r>
      <w:r>
        <w:rPr>
          <w:color w:val="000000"/>
        </w:rPr>
        <w:t>问题时，</w:t>
      </w:r>
      <w:r>
        <w:rPr>
          <w:rFonts w:hint="eastAsia"/>
          <w:color w:val="000000"/>
        </w:rPr>
        <w:t>应</w:t>
      </w:r>
      <w:r>
        <w:rPr>
          <w:color w:val="000000"/>
        </w:rPr>
        <w:t>暂停监检，及时发出《监检意见</w:t>
      </w:r>
      <w:r>
        <w:rPr>
          <w:rFonts w:hint="eastAsia"/>
          <w:color w:val="000000"/>
        </w:rPr>
        <w:t>通知</w:t>
      </w:r>
      <w:r>
        <w:rPr>
          <w:color w:val="000000"/>
        </w:rPr>
        <w:t>书》，</w:t>
      </w:r>
      <w:r>
        <w:rPr>
          <w:rFonts w:hint="eastAsia"/>
          <w:color w:val="000000"/>
        </w:rPr>
        <w:t>要求</w:t>
      </w:r>
      <w:r>
        <w:rPr>
          <w:color w:val="000000"/>
        </w:rPr>
        <w:t>制造单位在暂停监检</w:t>
      </w:r>
      <w:r>
        <w:rPr>
          <w:rFonts w:hint="eastAsia"/>
          <w:color w:val="000000"/>
        </w:rPr>
        <w:t>期间进行整改，</w:t>
      </w:r>
      <w:r>
        <w:rPr>
          <w:color w:val="000000"/>
        </w:rPr>
        <w:t>并</w:t>
      </w:r>
      <w:r>
        <w:rPr>
          <w:rFonts w:hint="eastAsia"/>
          <w:color w:val="000000"/>
        </w:rPr>
        <w:t>主动召回已经出厂的气瓶</w:t>
      </w:r>
      <w:r>
        <w:rPr>
          <w:color w:val="000000"/>
        </w:rPr>
        <w:t>，</w:t>
      </w:r>
      <w:r>
        <w:rPr>
          <w:rFonts w:hint="eastAsia"/>
          <w:color w:val="000000"/>
        </w:rPr>
        <w:t>书面</w:t>
      </w:r>
      <w:r>
        <w:rPr>
          <w:color w:val="000000"/>
        </w:rPr>
        <w:t>报告</w:t>
      </w:r>
      <w:r>
        <w:rPr>
          <w:rFonts w:hint="eastAsia"/>
          <w:color w:val="000000"/>
        </w:rPr>
        <w:t>签发许可证的</w:t>
      </w:r>
      <w:r>
        <w:rPr>
          <w:color w:val="000000"/>
        </w:rPr>
        <w:t>市场监</w:t>
      </w:r>
      <w:r>
        <w:rPr>
          <w:color w:val="000000"/>
        </w:rPr>
        <w:lastRenderedPageBreak/>
        <w:t>管部门</w:t>
      </w:r>
      <w:r>
        <w:rPr>
          <w:rFonts w:hint="eastAsia"/>
          <w:color w:val="000000"/>
        </w:rPr>
        <w:t>以及</w:t>
      </w:r>
      <w:r>
        <w:rPr>
          <w:color w:val="000000"/>
        </w:rPr>
        <w:t>当地市场监管部门</w:t>
      </w:r>
      <w:r>
        <w:rPr>
          <w:rFonts w:hint="eastAsia"/>
          <w:color w:val="000000"/>
        </w:rPr>
        <w:t>，否则将对失职的监督检验机构进行问责。</w:t>
      </w:r>
    </w:p>
    <w:p w14:paraId="02AAE77A" w14:textId="77777777" w:rsidR="00CA649D" w:rsidRDefault="00ED6D64">
      <w:pPr>
        <w:overflowPunct/>
        <w:topLinePunct w:val="0"/>
        <w:spacing w:line="600" w:lineRule="exact"/>
        <w:ind w:firstLineChars="200" w:firstLine="640"/>
        <w:rPr>
          <w:rFonts w:eastAsia="楷体"/>
        </w:rPr>
      </w:pPr>
      <w:r>
        <w:rPr>
          <w:rFonts w:eastAsia="楷体"/>
        </w:rPr>
        <w:t>（二）充装安全追溯平台建设和报废气瓶去功能化</w:t>
      </w:r>
    </w:p>
    <w:p w14:paraId="717EEC30" w14:textId="77777777" w:rsidR="00CA649D" w:rsidRDefault="00ED6D64">
      <w:pPr>
        <w:overflowPunct/>
        <w:topLinePunct w:val="0"/>
        <w:spacing w:line="600" w:lineRule="exact"/>
        <w:ind w:firstLineChars="200" w:firstLine="640"/>
        <w:rPr>
          <w:color w:val="000000"/>
        </w:rPr>
      </w:pPr>
      <w:r>
        <w:rPr>
          <w:rFonts w:hint="eastAsia"/>
        </w:rPr>
        <w:t>燃气</w:t>
      </w:r>
      <w:r>
        <w:t>气瓶充装单位</w:t>
      </w:r>
      <w:r>
        <w:rPr>
          <w:rFonts w:hint="eastAsia"/>
        </w:rPr>
        <w:t>应在</w:t>
      </w:r>
      <w:r>
        <w:rPr>
          <w:rFonts w:hint="eastAsia"/>
        </w:rPr>
        <w:t>2021</w:t>
      </w:r>
      <w:r>
        <w:rPr>
          <w:rFonts w:hint="eastAsia"/>
        </w:rPr>
        <w:t>年年底完成气瓶充装安全追溯平台建设，实现充装出厂的气瓶手机扫描查询充装数据信息。</w:t>
      </w:r>
      <w:r>
        <w:rPr>
          <w:color w:val="000000"/>
        </w:rPr>
        <w:t>对</w:t>
      </w:r>
      <w:r>
        <w:rPr>
          <w:rFonts w:hint="eastAsia"/>
          <w:color w:val="000000"/>
        </w:rPr>
        <w:t>仍</w:t>
      </w:r>
      <w:r>
        <w:rPr>
          <w:color w:val="000000"/>
        </w:rPr>
        <w:t>未建立气瓶</w:t>
      </w:r>
      <w:r>
        <w:rPr>
          <w:rFonts w:hint="eastAsia"/>
          <w:color w:val="000000"/>
        </w:rPr>
        <w:t>安全</w:t>
      </w:r>
      <w:r>
        <w:rPr>
          <w:color w:val="000000"/>
        </w:rPr>
        <w:t>追溯</w:t>
      </w:r>
      <w:r>
        <w:rPr>
          <w:rFonts w:hint="eastAsia"/>
          <w:color w:val="000000"/>
        </w:rPr>
        <w:t>平台</w:t>
      </w:r>
      <w:r>
        <w:rPr>
          <w:color w:val="000000"/>
        </w:rPr>
        <w:t>或无法通过手机扫描</w:t>
      </w:r>
      <w:r>
        <w:rPr>
          <w:rFonts w:hint="eastAsia"/>
          <w:color w:val="000000"/>
        </w:rPr>
        <w:t>查询</w:t>
      </w:r>
      <w:r>
        <w:rPr>
          <w:color w:val="000000"/>
        </w:rPr>
        <w:t>充装数据信息的充装单位，应限期整改，</w:t>
      </w:r>
      <w:r>
        <w:rPr>
          <w:rFonts w:hint="eastAsia"/>
          <w:color w:val="000000"/>
        </w:rPr>
        <w:t>逾期</w:t>
      </w:r>
      <w:r>
        <w:rPr>
          <w:color w:val="000000"/>
        </w:rPr>
        <w:t>不整改的，</w:t>
      </w:r>
      <w:r>
        <w:rPr>
          <w:rFonts w:hint="eastAsia"/>
          <w:color w:val="000000"/>
        </w:rPr>
        <w:t>按照不再具备许可条件收回充装许可</w:t>
      </w:r>
      <w:r>
        <w:rPr>
          <w:color w:val="000000"/>
        </w:rPr>
        <w:t>。</w:t>
      </w:r>
      <w:r>
        <w:rPr>
          <w:rFonts w:hint="eastAsia"/>
          <w:color w:val="000000"/>
        </w:rPr>
        <w:t>对</w:t>
      </w:r>
      <w:r>
        <w:rPr>
          <w:rFonts w:hint="eastAsia"/>
        </w:rPr>
        <w:t>安全评估合格的燃气气瓶，负责评估的检验机构应逐只将评估结果上传到气瓶充装安全追溯平台，否则不得进行充装。</w:t>
      </w:r>
    </w:p>
    <w:p w14:paraId="2D37E879" w14:textId="77777777" w:rsidR="00CA649D" w:rsidRDefault="00ED6D64">
      <w:pPr>
        <w:overflowPunct/>
        <w:topLinePunct w:val="0"/>
        <w:spacing w:line="600" w:lineRule="exact"/>
        <w:ind w:firstLineChars="200" w:firstLine="640"/>
      </w:pPr>
      <w:r>
        <w:t>充装单位</w:t>
      </w:r>
      <w:r>
        <w:rPr>
          <w:rFonts w:hint="eastAsia"/>
        </w:rPr>
        <w:t>新购置的气瓶封头上应凹印有本充装单位的标志</w:t>
      </w:r>
      <w:r>
        <w:t>，严禁</w:t>
      </w:r>
      <w:r>
        <w:rPr>
          <w:rFonts w:hint="eastAsia"/>
        </w:rPr>
        <w:t>购置和</w:t>
      </w:r>
      <w:r>
        <w:t>充装翻新</w:t>
      </w:r>
      <w:r>
        <w:rPr>
          <w:rFonts w:hint="eastAsia"/>
        </w:rPr>
        <w:t>“</w:t>
      </w:r>
      <w:r>
        <w:t>黑气瓶</w:t>
      </w:r>
      <w:r>
        <w:rPr>
          <w:rFonts w:hint="eastAsia"/>
        </w:rPr>
        <w:t>”</w:t>
      </w:r>
      <w:r>
        <w:rPr>
          <w:rFonts w:eastAsia="仿宋"/>
        </w:rPr>
        <w:t>。对</w:t>
      </w:r>
      <w:r>
        <w:rPr>
          <w:rFonts w:eastAsia="仿宋" w:hint="eastAsia"/>
        </w:rPr>
        <w:t>发现的</w:t>
      </w:r>
      <w:r>
        <w:rPr>
          <w:rFonts w:eastAsia="仿宋"/>
        </w:rPr>
        <w:t>报废气瓶和翻新</w:t>
      </w:r>
      <w:r>
        <w:rPr>
          <w:rFonts w:hint="eastAsia"/>
        </w:rPr>
        <w:t>“</w:t>
      </w:r>
      <w:r>
        <w:t>黑气瓶</w:t>
      </w:r>
      <w:r>
        <w:rPr>
          <w:rFonts w:hint="eastAsia"/>
        </w:rPr>
        <w:t>”，充装单位</w:t>
      </w:r>
      <w:r>
        <w:rPr>
          <w:rFonts w:eastAsia="仿宋"/>
        </w:rPr>
        <w:t>应</w:t>
      </w:r>
      <w:r>
        <w:rPr>
          <w:rFonts w:eastAsia="仿宋" w:hint="eastAsia"/>
        </w:rPr>
        <w:t>依法履行报废义务，</w:t>
      </w:r>
      <w:r>
        <w:t>采取切割、压扁或爆破等不可修复的方式</w:t>
      </w:r>
      <w:r>
        <w:rPr>
          <w:rFonts w:eastAsia="仿宋"/>
        </w:rPr>
        <w:t>消除</w:t>
      </w:r>
      <w:r>
        <w:rPr>
          <w:rFonts w:eastAsia="仿宋" w:hint="eastAsia"/>
        </w:rPr>
        <w:t>气瓶</w:t>
      </w:r>
      <w:r>
        <w:rPr>
          <w:rFonts w:eastAsia="仿宋"/>
        </w:rPr>
        <w:t>使用功能</w:t>
      </w:r>
      <w:r>
        <w:rPr>
          <w:rFonts w:hint="eastAsia"/>
        </w:rPr>
        <w:t>，</w:t>
      </w:r>
      <w:r>
        <w:t>不得</w:t>
      </w:r>
      <w:r>
        <w:rPr>
          <w:rFonts w:hint="eastAsia"/>
        </w:rPr>
        <w:t>在</w:t>
      </w:r>
      <w:r>
        <w:t>充装单位存放未消除使用功能的</w:t>
      </w:r>
      <w:r>
        <w:rPr>
          <w:rFonts w:eastAsia="仿宋"/>
        </w:rPr>
        <w:t>报废气瓶和翻新</w:t>
      </w:r>
      <w:r>
        <w:rPr>
          <w:rFonts w:hint="eastAsia"/>
        </w:rPr>
        <w:t>“</w:t>
      </w:r>
      <w:r>
        <w:t>黑气瓶</w:t>
      </w:r>
      <w:r>
        <w:rPr>
          <w:rFonts w:hint="eastAsia"/>
        </w:rPr>
        <w:t>”</w:t>
      </w:r>
      <w:r>
        <w:t>。充装单位和检验机构应当及时</w:t>
      </w:r>
      <w:r>
        <w:rPr>
          <w:rFonts w:hint="eastAsia"/>
        </w:rPr>
        <w:t>在</w:t>
      </w:r>
      <w:r>
        <w:t>气瓶充装</w:t>
      </w:r>
      <w:r>
        <w:rPr>
          <w:rFonts w:hint="eastAsia"/>
        </w:rPr>
        <w:t>安全</w:t>
      </w:r>
      <w:r>
        <w:t>追溯平台上更新去功能化的气瓶数据信息和状态，以及气瓶使用登记证附表《气瓶基本信息汇总表》。</w:t>
      </w:r>
    </w:p>
    <w:p w14:paraId="54DE3E40" w14:textId="77777777" w:rsidR="00CA649D" w:rsidRDefault="00ED6D64">
      <w:pPr>
        <w:overflowPunct/>
        <w:topLinePunct w:val="0"/>
        <w:spacing w:line="600" w:lineRule="exact"/>
        <w:ind w:firstLineChars="200" w:firstLine="640"/>
        <w:rPr>
          <w:rFonts w:eastAsia="楷体"/>
        </w:rPr>
      </w:pPr>
      <w:r>
        <w:rPr>
          <w:rFonts w:eastAsia="楷体"/>
        </w:rPr>
        <w:t>（三）加大执法力度严格</w:t>
      </w:r>
      <w:r>
        <w:rPr>
          <w:rFonts w:eastAsia="楷体" w:hint="eastAsia"/>
        </w:rPr>
        <w:t>监管</w:t>
      </w:r>
    </w:p>
    <w:p w14:paraId="6D070459" w14:textId="77777777" w:rsidR="00CA649D" w:rsidRDefault="00ED6D64">
      <w:pPr>
        <w:overflowPunct/>
        <w:topLinePunct w:val="0"/>
        <w:spacing w:line="600" w:lineRule="exact"/>
        <w:ind w:firstLineChars="200" w:firstLine="640"/>
      </w:pPr>
      <w:r>
        <w:t>使用登记机关在办理气瓶使用登记手续时，应当</w:t>
      </w:r>
      <w:r>
        <w:rPr>
          <w:rFonts w:hint="eastAsia"/>
        </w:rPr>
        <w:t>通过扫描</w:t>
      </w:r>
      <w:r>
        <w:t>相应气瓶</w:t>
      </w:r>
      <w:r>
        <w:rPr>
          <w:rFonts w:hint="eastAsia"/>
        </w:rPr>
        <w:t>电子识读标志，登录</w:t>
      </w:r>
      <w:r>
        <w:t>制造单位</w:t>
      </w:r>
      <w:r>
        <w:rPr>
          <w:rFonts w:hint="eastAsia"/>
        </w:rPr>
        <w:t>产品安全质量追溯公示</w:t>
      </w:r>
      <w:r>
        <w:t>网站，对充装（使用）单位提供的气瓶资料进行查询核实，</w:t>
      </w:r>
      <w:r>
        <w:rPr>
          <w:rFonts w:hint="eastAsia"/>
        </w:rPr>
        <w:t>并</w:t>
      </w:r>
      <w:r>
        <w:t>对气瓶封头上是否凹印充装单位标识进行核查，无误后方可办理；发现充</w:t>
      </w:r>
      <w:r>
        <w:lastRenderedPageBreak/>
        <w:t>装（使用）单位购买</w:t>
      </w:r>
      <w:r>
        <w:rPr>
          <w:rFonts w:hint="eastAsia"/>
        </w:rPr>
        <w:t>、充装</w:t>
      </w:r>
      <w:r>
        <w:t>翻新</w:t>
      </w:r>
      <w:r>
        <w:rPr>
          <w:rFonts w:hint="eastAsia"/>
        </w:rPr>
        <w:t>“</w:t>
      </w:r>
      <w:r>
        <w:t>黑气瓶</w:t>
      </w:r>
      <w:r>
        <w:rPr>
          <w:rFonts w:hint="eastAsia"/>
        </w:rPr>
        <w:t>”，</w:t>
      </w:r>
      <w:r>
        <w:t>责令充装单位立即实施去功能化处理，</w:t>
      </w:r>
      <w:r>
        <w:rPr>
          <w:rFonts w:hint="eastAsia"/>
        </w:rPr>
        <w:t>并予以行政处罚</w:t>
      </w:r>
      <w:r>
        <w:t>。</w:t>
      </w:r>
    </w:p>
    <w:p w14:paraId="413EC823" w14:textId="77777777" w:rsidR="00CA649D" w:rsidRDefault="00ED6D64">
      <w:pPr>
        <w:overflowPunct/>
        <w:topLinePunct w:val="0"/>
        <w:spacing w:line="600" w:lineRule="exact"/>
        <w:ind w:firstLineChars="200" w:firstLine="640"/>
        <w:rPr>
          <w:color w:val="000000"/>
        </w:rPr>
      </w:pPr>
      <w:r>
        <w:rPr>
          <w:color w:val="000000"/>
        </w:rPr>
        <w:t>以气瓶制造单位、充装单位、检验机构为重点，</w:t>
      </w:r>
      <w:proofErr w:type="gramStart"/>
      <w:r>
        <w:rPr>
          <w:color w:val="000000"/>
        </w:rPr>
        <w:t>加强证</w:t>
      </w:r>
      <w:proofErr w:type="gramEnd"/>
      <w:r>
        <w:rPr>
          <w:color w:val="000000"/>
        </w:rPr>
        <w:t>后监管，依法查处不再符合许可</w:t>
      </w:r>
      <w:r>
        <w:rPr>
          <w:rFonts w:hint="eastAsia"/>
          <w:color w:val="000000"/>
        </w:rPr>
        <w:t>或核准</w:t>
      </w:r>
      <w:r>
        <w:rPr>
          <w:color w:val="000000"/>
        </w:rPr>
        <w:t>条件的制造单位、充装单位和检验机构，从严查处检验机构翻新</w:t>
      </w:r>
      <w:r>
        <w:rPr>
          <w:rFonts w:hint="eastAsia"/>
          <w:color w:val="000000"/>
        </w:rPr>
        <w:t>“</w:t>
      </w:r>
      <w:r>
        <w:rPr>
          <w:color w:val="000000"/>
        </w:rPr>
        <w:t>黑气瓶</w:t>
      </w:r>
      <w:r>
        <w:rPr>
          <w:rFonts w:hint="eastAsia"/>
          <w:color w:val="000000"/>
        </w:rPr>
        <w:t>”</w:t>
      </w:r>
      <w:r>
        <w:rPr>
          <w:color w:val="000000"/>
        </w:rPr>
        <w:t>和出具虚假检验数据、检验报告</w:t>
      </w:r>
      <w:r>
        <w:rPr>
          <w:rFonts w:hint="eastAsia"/>
          <w:color w:val="000000"/>
        </w:rPr>
        <w:t>的违法行为。要以对人民群众生命财产高度负责的态度，</w:t>
      </w:r>
      <w:r>
        <w:rPr>
          <w:color w:val="000000"/>
        </w:rPr>
        <w:t>严厉打击</w:t>
      </w:r>
      <w:r>
        <w:rPr>
          <w:rFonts w:hint="eastAsia"/>
          <w:color w:val="000000"/>
        </w:rPr>
        <w:t>制售</w:t>
      </w:r>
      <w:r>
        <w:rPr>
          <w:rFonts w:hint="eastAsia"/>
        </w:rPr>
        <w:t>“</w:t>
      </w:r>
      <w:r>
        <w:t>黑气瓶</w:t>
      </w:r>
      <w:r>
        <w:rPr>
          <w:rFonts w:hint="eastAsia"/>
        </w:rPr>
        <w:t>”的</w:t>
      </w:r>
      <w:r>
        <w:rPr>
          <w:color w:val="000000"/>
        </w:rPr>
        <w:t>违法行为。</w:t>
      </w:r>
      <w:r>
        <w:t>加大案件曝光力度，</w:t>
      </w:r>
      <w:r>
        <w:rPr>
          <w:rFonts w:hint="eastAsia"/>
          <w:color w:val="000000"/>
        </w:rPr>
        <w:t>强化依法吊销许可以及</w:t>
      </w:r>
      <w:r>
        <w:rPr>
          <w:color w:val="000000"/>
        </w:rPr>
        <w:t>失信联合惩戒</w:t>
      </w:r>
      <w:r>
        <w:rPr>
          <w:rFonts w:hint="eastAsia"/>
          <w:color w:val="000000"/>
        </w:rPr>
        <w:t>，不能“一罚（款）了之”</w:t>
      </w:r>
      <w:r>
        <w:rPr>
          <w:color w:val="000000"/>
        </w:rPr>
        <w:t>。</w:t>
      </w:r>
    </w:p>
    <w:p w14:paraId="2090BFA8" w14:textId="77777777" w:rsidR="00CA649D" w:rsidRDefault="00ED6D64">
      <w:pPr>
        <w:overflowPunct/>
        <w:topLinePunct w:val="0"/>
        <w:spacing w:line="600" w:lineRule="exact"/>
        <w:ind w:firstLineChars="200" w:firstLine="640"/>
        <w:rPr>
          <w:rFonts w:eastAsia="楷体"/>
        </w:rPr>
      </w:pPr>
      <w:r>
        <w:rPr>
          <w:rFonts w:eastAsia="楷体"/>
        </w:rPr>
        <w:t>（四）推动气瓶</w:t>
      </w:r>
      <w:r>
        <w:rPr>
          <w:rFonts w:eastAsia="楷体" w:hint="eastAsia"/>
        </w:rPr>
        <w:t>保险和定检改革试点</w:t>
      </w:r>
    </w:p>
    <w:p w14:paraId="6C155ACF" w14:textId="77777777" w:rsidR="00CA649D" w:rsidRDefault="00ED6D64">
      <w:pPr>
        <w:spacing w:line="600" w:lineRule="exact"/>
        <w:ind w:firstLine="640"/>
        <w:jc w:val="left"/>
      </w:pPr>
      <w:r>
        <w:t>鼓励充装单位购买符合相关标准规定的气瓶充装安全责任保险</w:t>
      </w:r>
      <w:r>
        <w:rPr>
          <w:rFonts w:hint="eastAsia"/>
        </w:rPr>
        <w:t>，</w:t>
      </w:r>
      <w:r>
        <w:t>通过扫描气瓶瓶体上的永久性电子识读标志，在线查询气瓶充装、检验、保险情况等</w:t>
      </w:r>
      <w:r>
        <w:rPr>
          <w:rFonts w:hint="eastAsia"/>
        </w:rPr>
        <w:t>内容</w:t>
      </w:r>
      <w:r>
        <w:t>。</w:t>
      </w:r>
      <w:r>
        <w:rPr>
          <w:rFonts w:hint="eastAsia"/>
        </w:rPr>
        <w:t>总局今年将在</w:t>
      </w:r>
      <w:r>
        <w:rPr>
          <w:color w:val="000000"/>
          <w:kern w:val="0"/>
          <w:lang w:bidi="ar"/>
        </w:rPr>
        <w:t>在山东省烟台市等地开展</w:t>
      </w:r>
      <w:r>
        <w:rPr>
          <w:rFonts w:hint="eastAsia"/>
          <w:color w:val="000000"/>
          <w:kern w:val="0"/>
          <w:lang w:bidi="ar"/>
        </w:rPr>
        <w:t>燃气气瓶质量提升、推广</w:t>
      </w:r>
      <w:r>
        <w:t>充装安全责任保险</w:t>
      </w:r>
      <w:r>
        <w:rPr>
          <w:rFonts w:hint="eastAsia"/>
          <w:color w:val="000000"/>
          <w:kern w:val="0"/>
          <w:lang w:bidi="ar"/>
        </w:rPr>
        <w:t>和延长</w:t>
      </w:r>
      <w:r>
        <w:rPr>
          <w:color w:val="000000"/>
          <w:kern w:val="0"/>
          <w:lang w:bidi="ar"/>
        </w:rPr>
        <w:t>定期检验</w:t>
      </w:r>
      <w:r>
        <w:rPr>
          <w:rFonts w:hint="eastAsia"/>
          <w:color w:val="000000"/>
          <w:kern w:val="0"/>
          <w:lang w:bidi="ar"/>
        </w:rPr>
        <w:t>周期等燃气气瓶</w:t>
      </w:r>
      <w:r>
        <w:rPr>
          <w:color w:val="000000"/>
          <w:kern w:val="0"/>
          <w:lang w:bidi="ar"/>
        </w:rPr>
        <w:t>使用管理</w:t>
      </w:r>
      <w:r>
        <w:rPr>
          <w:rFonts w:hint="eastAsia"/>
          <w:color w:val="000000"/>
          <w:kern w:val="0"/>
          <w:lang w:bidi="ar"/>
        </w:rPr>
        <w:t>改革</w:t>
      </w:r>
      <w:r>
        <w:rPr>
          <w:color w:val="000000"/>
          <w:kern w:val="0"/>
          <w:lang w:bidi="ar"/>
        </w:rPr>
        <w:t>试点</w:t>
      </w:r>
      <w:r>
        <w:rPr>
          <w:rFonts w:hint="eastAsia"/>
          <w:color w:val="000000"/>
          <w:kern w:val="0"/>
          <w:lang w:bidi="ar"/>
        </w:rPr>
        <w:t>工作</w:t>
      </w:r>
      <w:r>
        <w:rPr>
          <w:color w:val="000000"/>
          <w:kern w:val="0"/>
          <w:lang w:bidi="ar"/>
        </w:rPr>
        <w:t>。</w:t>
      </w:r>
    </w:p>
    <w:p w14:paraId="0A499BAF" w14:textId="77777777" w:rsidR="00CA649D" w:rsidRDefault="00ED6D64">
      <w:pPr>
        <w:overflowPunct/>
        <w:topLinePunct w:val="0"/>
        <w:spacing w:line="600" w:lineRule="exact"/>
        <w:ind w:firstLine="611"/>
        <w:rPr>
          <w:rFonts w:eastAsia="仿宋"/>
        </w:rPr>
      </w:pPr>
      <w:r>
        <w:rPr>
          <w:rFonts w:eastAsia="黑体"/>
        </w:rPr>
        <w:t>三、整治方式</w:t>
      </w:r>
    </w:p>
    <w:p w14:paraId="44E62C04" w14:textId="77777777" w:rsidR="00CA649D" w:rsidRDefault="00ED6D64">
      <w:pPr>
        <w:overflowPunct/>
        <w:topLinePunct w:val="0"/>
        <w:spacing w:line="600" w:lineRule="exact"/>
        <w:ind w:firstLineChars="200" w:firstLine="640"/>
      </w:pPr>
      <w:r>
        <w:rPr>
          <w:rFonts w:eastAsia="楷体"/>
        </w:rPr>
        <w:t>（一）自查</w:t>
      </w:r>
      <w:r>
        <w:rPr>
          <w:rFonts w:eastAsia="楷体" w:hint="eastAsia"/>
        </w:rPr>
        <w:t>自纠</w:t>
      </w:r>
      <w:r>
        <w:rPr>
          <w:rFonts w:eastAsia="楷体"/>
        </w:rPr>
        <w:t>。</w:t>
      </w:r>
      <w:r>
        <w:t>2022</w:t>
      </w:r>
      <w:r>
        <w:t>年</w:t>
      </w:r>
      <w:r>
        <w:t>2</w:t>
      </w:r>
      <w:r>
        <w:t>月</w:t>
      </w:r>
      <w:r>
        <w:rPr>
          <w:rFonts w:ascii="宋体" w:eastAsia="宋体" w:hAnsi="宋体" w:cs="宋体" w:hint="eastAsia"/>
        </w:rPr>
        <w:t>–</w:t>
      </w:r>
      <w:r>
        <w:t>6</w:t>
      </w:r>
      <w:r>
        <w:t>月，气瓶制造单位、充装单位、检验机构依据工作方案</w:t>
      </w:r>
      <w:r>
        <w:rPr>
          <w:rFonts w:hint="eastAsia"/>
        </w:rPr>
        <w:t>开展</w:t>
      </w:r>
      <w:r>
        <w:t>自查</w:t>
      </w:r>
      <w:r>
        <w:rPr>
          <w:rFonts w:hint="eastAsia"/>
        </w:rPr>
        <w:t>自纠</w:t>
      </w:r>
      <w:r>
        <w:t>。各地市场监管部门对</w:t>
      </w:r>
      <w:r>
        <w:t>2021</w:t>
      </w:r>
      <w:r>
        <w:t>年案件办理情况开展回头看，</w:t>
      </w:r>
      <w:r>
        <w:rPr>
          <w:rFonts w:hint="eastAsia"/>
        </w:rPr>
        <w:t>于</w:t>
      </w:r>
      <w:r>
        <w:t>6</w:t>
      </w:r>
      <w:r>
        <w:t>月底前完成查处、形成</w:t>
      </w:r>
      <w:r>
        <w:rPr>
          <w:rFonts w:hint="eastAsia"/>
        </w:rPr>
        <w:t>工作</w:t>
      </w:r>
      <w:r>
        <w:t>闭环。</w:t>
      </w:r>
    </w:p>
    <w:p w14:paraId="4D336C12" w14:textId="77777777" w:rsidR="00CA649D" w:rsidRDefault="00ED6D64">
      <w:pPr>
        <w:overflowPunct/>
        <w:topLinePunct w:val="0"/>
        <w:spacing w:line="600" w:lineRule="exact"/>
        <w:ind w:firstLineChars="200" w:firstLine="640"/>
      </w:pPr>
      <w:r>
        <w:rPr>
          <w:rFonts w:eastAsia="楷体"/>
        </w:rPr>
        <w:t>（二）</w:t>
      </w:r>
      <w:r>
        <w:rPr>
          <w:rFonts w:eastAsia="楷体" w:hint="eastAsia"/>
        </w:rPr>
        <w:t>监督检</w:t>
      </w:r>
      <w:r>
        <w:rPr>
          <w:rFonts w:eastAsia="楷体"/>
        </w:rPr>
        <w:t>查。</w:t>
      </w:r>
      <w:r>
        <w:t>2022</w:t>
      </w:r>
      <w:r>
        <w:t>年</w:t>
      </w:r>
      <w:r>
        <w:t>7</w:t>
      </w:r>
      <w:r>
        <w:t>月</w:t>
      </w:r>
      <w:r>
        <w:rPr>
          <w:rFonts w:ascii="宋体" w:eastAsia="宋体" w:hAnsi="宋体" w:cs="宋体" w:hint="eastAsia"/>
        </w:rPr>
        <w:t>–</w:t>
      </w:r>
      <w:r>
        <w:t>10</w:t>
      </w:r>
      <w:r>
        <w:t>月，各地市场监管部门采取</w:t>
      </w:r>
      <w:r>
        <w:rPr>
          <w:rFonts w:hint="eastAsia"/>
        </w:rPr>
        <w:t>“</w:t>
      </w:r>
      <w:r>
        <w:t>明查暗访、四</w:t>
      </w:r>
      <w:proofErr w:type="gramStart"/>
      <w:r>
        <w:t>不</w:t>
      </w:r>
      <w:proofErr w:type="gramEnd"/>
      <w:r>
        <w:t>两直</w:t>
      </w:r>
      <w:r>
        <w:rPr>
          <w:rFonts w:hint="eastAsia"/>
        </w:rPr>
        <w:t>”</w:t>
      </w:r>
      <w:r>
        <w:t>等方式，开展气瓶制造单位、充装单位、检验机构现场监督检查。</w:t>
      </w:r>
    </w:p>
    <w:p w14:paraId="48C5C77B" w14:textId="77777777" w:rsidR="00CA649D" w:rsidRDefault="00ED6D64">
      <w:pPr>
        <w:overflowPunct/>
        <w:topLinePunct w:val="0"/>
        <w:spacing w:line="600" w:lineRule="exact"/>
        <w:ind w:firstLineChars="200" w:firstLine="640"/>
      </w:pPr>
      <w:r>
        <w:rPr>
          <w:rFonts w:eastAsia="楷体"/>
        </w:rPr>
        <w:lastRenderedPageBreak/>
        <w:t>（三）</w:t>
      </w:r>
      <w:r>
        <w:rPr>
          <w:rFonts w:eastAsia="楷体" w:hint="eastAsia"/>
        </w:rPr>
        <w:t>依法查办</w:t>
      </w:r>
      <w:r>
        <w:rPr>
          <w:rFonts w:eastAsia="楷体"/>
        </w:rPr>
        <w:t>。</w:t>
      </w:r>
      <w:r>
        <w:t>2022</w:t>
      </w:r>
      <w:r>
        <w:t>年</w:t>
      </w:r>
      <w:r>
        <w:t>1</w:t>
      </w:r>
      <w:r>
        <w:t>月</w:t>
      </w:r>
      <w:r>
        <w:rPr>
          <w:rFonts w:ascii="宋体" w:eastAsia="宋体" w:hAnsi="宋体" w:cs="宋体" w:hint="eastAsia"/>
        </w:rPr>
        <w:t>–</w:t>
      </w:r>
      <w:r>
        <w:t>10</w:t>
      </w:r>
      <w:r>
        <w:t>月，各地市场监管部门</w:t>
      </w:r>
      <w:r>
        <w:rPr>
          <w:rFonts w:hint="eastAsia"/>
        </w:rPr>
        <w:t>加大力度，</w:t>
      </w:r>
      <w:r>
        <w:t>持续开展</w:t>
      </w:r>
      <w:r>
        <w:rPr>
          <w:rFonts w:hint="eastAsia"/>
        </w:rPr>
        <w:t>“</w:t>
      </w:r>
      <w:r>
        <w:t>黑气瓶</w:t>
      </w:r>
      <w:r>
        <w:rPr>
          <w:rFonts w:hint="eastAsia"/>
        </w:rPr>
        <w:t>”</w:t>
      </w:r>
      <w:proofErr w:type="gramStart"/>
      <w:r>
        <w:t>新案件</w:t>
      </w:r>
      <w:proofErr w:type="gramEnd"/>
      <w:r>
        <w:t>的查办工作。</w:t>
      </w:r>
    </w:p>
    <w:p w14:paraId="66828476" w14:textId="77777777" w:rsidR="00CA649D" w:rsidRDefault="00ED6D64">
      <w:pPr>
        <w:overflowPunct/>
        <w:topLinePunct w:val="0"/>
        <w:spacing w:line="560" w:lineRule="exact"/>
        <w:ind w:firstLineChars="200" w:firstLine="640"/>
        <w:rPr>
          <w:rFonts w:cs="仿宋_GB2312"/>
        </w:rPr>
        <w:sectPr w:rsidR="00CA649D">
          <w:headerReference w:type="even" r:id="rId8"/>
          <w:headerReference w:type="default" r:id="rId9"/>
          <w:footerReference w:type="even" r:id="rId10"/>
          <w:footerReference w:type="default" r:id="rId11"/>
          <w:headerReference w:type="first" r:id="rId12"/>
          <w:footerReference w:type="first" r:id="rId13"/>
          <w:pgSz w:w="11906" w:h="16838"/>
          <w:pgMar w:top="1984" w:right="1474" w:bottom="1644" w:left="1474" w:header="851" w:footer="1191" w:gutter="0"/>
          <w:cols w:space="720"/>
          <w:docGrid w:type="linesAndChars" w:linePitch="600" w:charSpace="-15"/>
        </w:sectPr>
      </w:pPr>
      <w:r>
        <w:t>请各</w:t>
      </w:r>
      <w:r>
        <w:rPr>
          <w:rFonts w:hint="eastAsia"/>
        </w:rPr>
        <w:t>省级市场监管部门</w:t>
      </w:r>
      <w:r>
        <w:t>填写</w:t>
      </w:r>
      <w:r>
        <w:rPr>
          <w:color w:val="000000"/>
        </w:rPr>
        <w:t>《</w:t>
      </w:r>
      <w:r>
        <w:rPr>
          <w:rFonts w:hint="eastAsia"/>
          <w:color w:val="000000"/>
        </w:rPr>
        <w:t>“</w:t>
      </w:r>
      <w:r>
        <w:rPr>
          <w:color w:val="000000"/>
        </w:rPr>
        <w:t>黑气瓶</w:t>
      </w:r>
      <w:r>
        <w:rPr>
          <w:rFonts w:hint="eastAsia"/>
          <w:color w:val="000000"/>
        </w:rPr>
        <w:t>”</w:t>
      </w:r>
      <w:r>
        <w:rPr>
          <w:color w:val="000000"/>
        </w:rPr>
        <w:t>整治巩固提升情况统计表》</w:t>
      </w:r>
      <w:r>
        <w:rPr>
          <w:rFonts w:hint="eastAsia"/>
          <w:color w:val="000000"/>
        </w:rPr>
        <w:t>（见附表）</w:t>
      </w:r>
      <w:r>
        <w:rPr>
          <w:color w:val="0000FF"/>
        </w:rPr>
        <w:t>，</w:t>
      </w:r>
      <w:r>
        <w:rPr>
          <w:rFonts w:cs="仿宋_GB2312" w:hint="eastAsia"/>
        </w:rPr>
        <w:t>于</w:t>
      </w:r>
      <w:r>
        <w:rPr>
          <w:rFonts w:cs="仿宋_GB2312" w:hint="eastAsia"/>
        </w:rPr>
        <w:t>2022</w:t>
      </w:r>
      <w:r>
        <w:rPr>
          <w:rFonts w:cs="仿宋_GB2312" w:hint="eastAsia"/>
        </w:rPr>
        <w:t>年</w:t>
      </w:r>
      <w:r>
        <w:rPr>
          <w:rFonts w:cs="仿宋_GB2312" w:hint="eastAsia"/>
        </w:rPr>
        <w:t>7</w:t>
      </w:r>
      <w:r>
        <w:rPr>
          <w:rFonts w:cs="仿宋_GB2312" w:hint="eastAsia"/>
        </w:rPr>
        <w:t>月</w:t>
      </w:r>
      <w:r>
        <w:rPr>
          <w:rFonts w:cs="仿宋_GB2312" w:hint="eastAsia"/>
        </w:rPr>
        <w:t>10</w:t>
      </w:r>
      <w:r>
        <w:rPr>
          <w:rFonts w:cs="仿宋_GB2312" w:hint="eastAsia"/>
        </w:rPr>
        <w:t>日前将各地</w:t>
      </w:r>
      <w:r>
        <w:rPr>
          <w:rFonts w:cs="仿宋" w:hint="eastAsia"/>
        </w:rPr>
        <w:t>2021</w:t>
      </w:r>
      <w:r>
        <w:rPr>
          <w:rFonts w:cs="仿宋" w:hint="eastAsia"/>
        </w:rPr>
        <w:t>年案件办理回头看的情况和</w:t>
      </w:r>
      <w:r>
        <w:rPr>
          <w:rFonts w:cs="仿宋" w:hint="eastAsia"/>
        </w:rPr>
        <w:t>1</w:t>
      </w:r>
      <w:r>
        <w:rPr>
          <w:rFonts w:cs="仿宋" w:hint="eastAsia"/>
        </w:rPr>
        <w:t>月</w:t>
      </w:r>
      <w:r>
        <w:rPr>
          <w:rFonts w:ascii="宋体" w:eastAsia="宋体" w:hAnsi="宋体" w:cs="宋体" w:hint="eastAsia"/>
        </w:rPr>
        <w:t>–</w:t>
      </w:r>
      <w:r>
        <w:rPr>
          <w:rFonts w:cs="仿宋" w:hint="eastAsia"/>
        </w:rPr>
        <w:t>6</w:t>
      </w:r>
      <w:r>
        <w:rPr>
          <w:rFonts w:cs="仿宋" w:hint="eastAsia"/>
        </w:rPr>
        <w:t>月</w:t>
      </w:r>
      <w:r>
        <w:rPr>
          <w:rFonts w:cs="仿宋_GB2312" w:hint="eastAsia"/>
        </w:rPr>
        <w:t>“黑气瓶”案件的查办情况报总局特种设备局，于</w:t>
      </w:r>
      <w:r>
        <w:rPr>
          <w:rFonts w:cs="仿宋_GB2312" w:hint="eastAsia"/>
        </w:rPr>
        <w:t>12</w:t>
      </w:r>
      <w:r>
        <w:rPr>
          <w:rFonts w:cs="仿宋_GB2312" w:hint="eastAsia"/>
        </w:rPr>
        <w:t>月</w:t>
      </w:r>
      <w:r>
        <w:rPr>
          <w:rFonts w:cs="仿宋_GB2312" w:hint="eastAsia"/>
        </w:rPr>
        <w:t>10</w:t>
      </w:r>
      <w:r>
        <w:rPr>
          <w:rFonts w:cs="仿宋_GB2312" w:hint="eastAsia"/>
        </w:rPr>
        <w:t>日前将全年“黑气瓶”案件的查办情况报总局特种设备局。</w:t>
      </w:r>
    </w:p>
    <w:p w14:paraId="38208759" w14:textId="77777777" w:rsidR="00CA649D" w:rsidRDefault="00ED6D64">
      <w:pPr>
        <w:overflowPunct/>
        <w:topLinePunct w:val="0"/>
        <w:spacing w:line="560" w:lineRule="exact"/>
        <w:rPr>
          <w:rFonts w:ascii="黑体" w:eastAsia="黑体" w:hAnsi="黑体" w:cs="黑体"/>
        </w:rPr>
      </w:pPr>
      <w:r>
        <w:rPr>
          <w:rFonts w:ascii="黑体" w:eastAsia="黑体" w:hAnsi="黑体" w:cs="黑体" w:hint="eastAsia"/>
        </w:rPr>
        <w:lastRenderedPageBreak/>
        <w:t>附表</w:t>
      </w:r>
    </w:p>
    <w:p w14:paraId="52F52B10" w14:textId="77777777" w:rsidR="00CA649D" w:rsidRDefault="00ED6D64">
      <w:pPr>
        <w:overflowPunct/>
        <w:topLinePunct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“黑气瓶”整治巩固提升情况统计表</w:t>
      </w:r>
    </w:p>
    <w:p w14:paraId="2281D477" w14:textId="77777777" w:rsidR="00CA649D" w:rsidRDefault="00CA649D">
      <w:pPr>
        <w:pStyle w:val="BodyTextFirstIndent1"/>
        <w:ind w:firstLine="211"/>
        <w:rPr>
          <w:rFonts w:ascii="仿宋_GB2312" w:eastAsia="仿宋_GB2312" w:hAnsi="仿宋_GB2312" w:cs="仿宋_GB2312"/>
          <w:b/>
          <w:color w:val="auto"/>
        </w:rPr>
      </w:pPr>
    </w:p>
    <w:p w14:paraId="69C08FED" w14:textId="77777777" w:rsidR="00CA649D" w:rsidRDefault="00ED6D64">
      <w:pPr>
        <w:pStyle w:val="BodyTextFirstIndent1"/>
        <w:spacing w:after="0"/>
        <w:ind w:firstLine="211"/>
        <w:rPr>
          <w:rFonts w:ascii="仿宋_GB2312" w:eastAsia="仿宋_GB2312" w:hAnsi="仿宋_GB2312" w:cs="仿宋_GB2312"/>
          <w:b/>
        </w:rPr>
      </w:pPr>
      <w:r>
        <w:rPr>
          <w:rFonts w:ascii="仿宋_GB2312" w:eastAsia="仿宋_GB2312" w:hAnsi="仿宋_GB2312" w:cs="仿宋_GB2312" w:hint="eastAsia"/>
          <w:b/>
          <w:color w:val="auto"/>
        </w:rPr>
        <w:t xml:space="preserve">填报单位： </w:t>
      </w:r>
      <w:r>
        <w:rPr>
          <w:rFonts w:ascii="仿宋_GB2312" w:eastAsia="仿宋_GB2312" w:hAnsi="仿宋_GB2312" w:cs="仿宋_GB2312" w:hint="eastAsia"/>
          <w:b/>
          <w:color w:val="auto"/>
          <w:u w:val="single"/>
        </w:rPr>
        <w:t xml:space="preserve">                    </w:t>
      </w:r>
      <w:r>
        <w:rPr>
          <w:rFonts w:ascii="仿宋_GB2312" w:eastAsia="仿宋_GB2312" w:hAnsi="仿宋_GB2312" w:cs="仿宋_GB2312" w:hint="eastAsia"/>
          <w:b/>
          <w:color w:val="auto"/>
        </w:rPr>
        <w:t xml:space="preserve">        填报人员： </w:t>
      </w:r>
      <w:r>
        <w:rPr>
          <w:rFonts w:ascii="仿宋_GB2312" w:eastAsia="仿宋_GB2312" w:hAnsi="仿宋_GB2312" w:cs="仿宋_GB2312" w:hint="eastAsia"/>
          <w:b/>
          <w:color w:val="auto"/>
          <w:u w:val="single"/>
        </w:rPr>
        <w:t xml:space="preserve">                   </w:t>
      </w:r>
      <w:r>
        <w:rPr>
          <w:rFonts w:ascii="仿宋_GB2312" w:eastAsia="仿宋_GB2312" w:hAnsi="仿宋_GB2312" w:cs="仿宋_GB2312" w:hint="eastAsia"/>
          <w:b/>
          <w:color w:val="auto"/>
        </w:rPr>
        <w:t xml:space="preserve">      联系电话： </w:t>
      </w:r>
      <w:r>
        <w:rPr>
          <w:rFonts w:ascii="仿宋_GB2312" w:eastAsia="仿宋_GB2312" w:hAnsi="仿宋_GB2312" w:cs="仿宋_GB2312" w:hint="eastAsia"/>
          <w:b/>
          <w:color w:val="auto"/>
          <w:u w:val="single"/>
        </w:rPr>
        <w:t xml:space="preserve">                 </w:t>
      </w:r>
      <w:r>
        <w:rPr>
          <w:rFonts w:ascii="仿宋_GB2312" w:eastAsia="仿宋_GB2312" w:hAnsi="仿宋_GB2312" w:cs="仿宋_GB2312" w:hint="eastAsia"/>
          <w:b/>
          <w:color w:val="auto"/>
        </w:rPr>
        <w:t xml:space="preserve">      </w:t>
      </w:r>
    </w:p>
    <w:tbl>
      <w:tblPr>
        <w:tblStyle w:val="a8"/>
        <w:tblW w:w="0" w:type="auto"/>
        <w:jc w:val="center"/>
        <w:tblLayout w:type="fixed"/>
        <w:tblLook w:val="04A0" w:firstRow="1" w:lastRow="0" w:firstColumn="1" w:lastColumn="0" w:noHBand="0" w:noVBand="1"/>
      </w:tblPr>
      <w:tblGrid>
        <w:gridCol w:w="629"/>
        <w:gridCol w:w="1096"/>
        <w:gridCol w:w="3601"/>
        <w:gridCol w:w="2418"/>
        <w:gridCol w:w="2268"/>
        <w:gridCol w:w="2268"/>
        <w:gridCol w:w="1354"/>
      </w:tblGrid>
      <w:tr w:rsidR="00CA649D" w14:paraId="7E7854CC" w14:textId="77777777">
        <w:trPr>
          <w:trHeight w:val="1020"/>
          <w:jc w:val="center"/>
        </w:trPr>
        <w:tc>
          <w:tcPr>
            <w:tcW w:w="629" w:type="dxa"/>
            <w:vAlign w:val="center"/>
          </w:tcPr>
          <w:p w14:paraId="1B5E67DE" w14:textId="77777777" w:rsidR="00CA649D" w:rsidRDefault="00ED6D64">
            <w:pPr>
              <w:overflowPunct/>
              <w:topLinePunct w:val="0"/>
              <w:spacing w:line="500" w:lineRule="exact"/>
              <w:jc w:val="center"/>
              <w:rPr>
                <w:rFonts w:ascii="仿宋_GB2312" w:hAnsi="仿宋_GB2312" w:cs="仿宋_GB2312"/>
                <w:b/>
                <w:bCs/>
                <w:sz w:val="21"/>
                <w:szCs w:val="21"/>
              </w:rPr>
            </w:pPr>
            <w:r>
              <w:rPr>
                <w:rFonts w:ascii="仿宋_GB2312" w:hAnsi="仿宋_GB2312" w:cs="仿宋_GB2312" w:hint="eastAsia"/>
                <w:b/>
                <w:bCs/>
                <w:sz w:val="21"/>
                <w:szCs w:val="21"/>
              </w:rPr>
              <w:t>序号</w:t>
            </w:r>
          </w:p>
        </w:tc>
        <w:tc>
          <w:tcPr>
            <w:tcW w:w="4697" w:type="dxa"/>
            <w:gridSpan w:val="2"/>
            <w:vAlign w:val="center"/>
          </w:tcPr>
          <w:p w14:paraId="0FC3714A" w14:textId="77777777" w:rsidR="00CA649D" w:rsidRDefault="00ED6D64">
            <w:pPr>
              <w:overflowPunct/>
              <w:topLinePunct w:val="0"/>
              <w:spacing w:line="500" w:lineRule="exact"/>
              <w:jc w:val="center"/>
              <w:rPr>
                <w:rFonts w:ascii="仿宋_GB2312" w:hAnsi="仿宋_GB2312" w:cs="仿宋_GB2312"/>
                <w:b/>
                <w:bCs/>
                <w:sz w:val="21"/>
                <w:szCs w:val="21"/>
              </w:rPr>
            </w:pPr>
            <w:r>
              <w:rPr>
                <w:rFonts w:ascii="仿宋_GB2312" w:hAnsi="仿宋_GB2312" w:cs="仿宋_GB2312" w:hint="eastAsia"/>
                <w:b/>
                <w:bCs/>
                <w:sz w:val="21"/>
                <w:szCs w:val="21"/>
              </w:rPr>
              <w:t>项目</w:t>
            </w:r>
          </w:p>
        </w:tc>
        <w:tc>
          <w:tcPr>
            <w:tcW w:w="2418" w:type="dxa"/>
            <w:vAlign w:val="center"/>
          </w:tcPr>
          <w:p w14:paraId="57DDDBDA"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数据统计时段：</w:t>
            </w:r>
          </w:p>
          <w:p w14:paraId="75482E55"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2021.11.1至12.31</w:t>
            </w:r>
          </w:p>
        </w:tc>
        <w:tc>
          <w:tcPr>
            <w:tcW w:w="2268" w:type="dxa"/>
            <w:vAlign w:val="center"/>
          </w:tcPr>
          <w:p w14:paraId="6D26618C"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数据统计时段：</w:t>
            </w:r>
          </w:p>
          <w:p w14:paraId="74791CA3"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2022.1.1至6.30</w:t>
            </w:r>
          </w:p>
        </w:tc>
        <w:tc>
          <w:tcPr>
            <w:tcW w:w="2268" w:type="dxa"/>
            <w:vAlign w:val="center"/>
          </w:tcPr>
          <w:p w14:paraId="654C7EE4"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数据统计时段：</w:t>
            </w:r>
          </w:p>
          <w:p w14:paraId="42ACDD66" w14:textId="77777777" w:rsidR="00CA649D" w:rsidRDefault="00ED6D64">
            <w:pPr>
              <w:overflowPunct/>
              <w:topLinePunct w:val="0"/>
              <w:spacing w:line="500" w:lineRule="exact"/>
              <w:rPr>
                <w:rFonts w:ascii="仿宋_GB2312" w:hAnsi="仿宋_GB2312" w:cs="仿宋_GB2312"/>
                <w:b/>
                <w:bCs/>
                <w:sz w:val="21"/>
                <w:szCs w:val="21"/>
              </w:rPr>
            </w:pPr>
            <w:r>
              <w:rPr>
                <w:rFonts w:ascii="仿宋_GB2312" w:hAnsi="仿宋_GB2312" w:cs="仿宋_GB2312" w:hint="eastAsia"/>
                <w:b/>
                <w:bCs/>
                <w:sz w:val="21"/>
                <w:szCs w:val="21"/>
              </w:rPr>
              <w:t>2022.7.1至11.30</w:t>
            </w:r>
          </w:p>
        </w:tc>
        <w:tc>
          <w:tcPr>
            <w:tcW w:w="1354" w:type="dxa"/>
            <w:vAlign w:val="center"/>
          </w:tcPr>
          <w:p w14:paraId="7CB67375" w14:textId="77777777" w:rsidR="00CA649D" w:rsidRDefault="00ED6D64">
            <w:pPr>
              <w:overflowPunct/>
              <w:topLinePunct w:val="0"/>
              <w:spacing w:line="500" w:lineRule="exact"/>
              <w:jc w:val="center"/>
              <w:rPr>
                <w:rFonts w:ascii="仿宋_GB2312" w:hAnsi="仿宋_GB2312" w:cs="仿宋_GB2312"/>
                <w:b/>
                <w:bCs/>
                <w:sz w:val="21"/>
                <w:szCs w:val="21"/>
              </w:rPr>
            </w:pPr>
            <w:r>
              <w:rPr>
                <w:rFonts w:ascii="仿宋_GB2312" w:hAnsi="仿宋_GB2312" w:cs="仿宋_GB2312" w:hint="eastAsia"/>
                <w:b/>
                <w:bCs/>
                <w:sz w:val="21"/>
                <w:szCs w:val="21"/>
              </w:rPr>
              <w:t>备注</w:t>
            </w:r>
          </w:p>
        </w:tc>
      </w:tr>
      <w:tr w:rsidR="00CA649D" w14:paraId="5AB414BC" w14:textId="77777777">
        <w:trPr>
          <w:trHeight w:val="850"/>
          <w:jc w:val="center"/>
        </w:trPr>
        <w:tc>
          <w:tcPr>
            <w:tcW w:w="629" w:type="dxa"/>
            <w:vAlign w:val="center"/>
          </w:tcPr>
          <w:p w14:paraId="695A1BB4"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w:t>
            </w:r>
          </w:p>
        </w:tc>
        <w:tc>
          <w:tcPr>
            <w:tcW w:w="1096" w:type="dxa"/>
            <w:vMerge w:val="restart"/>
            <w:vAlign w:val="center"/>
          </w:tcPr>
          <w:p w14:paraId="40E5C380"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燃气气瓶制造单位</w:t>
            </w:r>
          </w:p>
        </w:tc>
        <w:tc>
          <w:tcPr>
            <w:tcW w:w="3601" w:type="dxa"/>
            <w:vAlign w:val="center"/>
          </w:tcPr>
          <w:p w14:paraId="4989C9AF" w14:textId="77777777" w:rsidR="00CA649D" w:rsidRDefault="00ED6D64">
            <w:pPr>
              <w:overflowPunct/>
              <w:topLinePunct w:val="0"/>
              <w:spacing w:line="400" w:lineRule="exact"/>
              <w:rPr>
                <w:rFonts w:ascii="仿宋_GB2312" w:hAnsi="仿宋_GB2312" w:cs="仿宋_GB2312"/>
                <w:sz w:val="21"/>
                <w:szCs w:val="21"/>
              </w:rPr>
            </w:pPr>
            <w:r>
              <w:rPr>
                <w:rFonts w:ascii="仿宋_GB2312" w:hAnsi="仿宋_GB2312" w:cs="仿宋_GB2312" w:hint="eastAsia"/>
                <w:color w:val="000000"/>
                <w:sz w:val="21"/>
                <w:szCs w:val="21"/>
              </w:rPr>
              <w:t>未及时将气瓶制造信息在产品制造安全质量追溯平台进行公示/家</w:t>
            </w:r>
          </w:p>
        </w:tc>
        <w:tc>
          <w:tcPr>
            <w:tcW w:w="2418" w:type="dxa"/>
            <w:vAlign w:val="center"/>
          </w:tcPr>
          <w:p w14:paraId="460B23A7" w14:textId="77777777" w:rsidR="00CA649D" w:rsidRDefault="00CA649D">
            <w:pPr>
              <w:overflowPunct/>
              <w:topLinePunct w:val="0"/>
              <w:spacing w:line="560" w:lineRule="exact"/>
              <w:rPr>
                <w:rFonts w:ascii="仿宋_GB2312" w:hAnsi="仿宋_GB2312" w:cs="仿宋_GB2312"/>
                <w:sz w:val="21"/>
                <w:szCs w:val="21"/>
              </w:rPr>
            </w:pPr>
          </w:p>
        </w:tc>
        <w:tc>
          <w:tcPr>
            <w:tcW w:w="2268" w:type="dxa"/>
            <w:vAlign w:val="center"/>
          </w:tcPr>
          <w:p w14:paraId="346398C8" w14:textId="77777777" w:rsidR="00CA649D" w:rsidRDefault="00CA649D">
            <w:pPr>
              <w:overflowPunct/>
              <w:topLinePunct w:val="0"/>
              <w:spacing w:line="560" w:lineRule="exact"/>
              <w:rPr>
                <w:rFonts w:ascii="仿宋_GB2312" w:hAnsi="仿宋_GB2312" w:cs="仿宋_GB2312"/>
                <w:sz w:val="21"/>
                <w:szCs w:val="21"/>
              </w:rPr>
            </w:pPr>
          </w:p>
        </w:tc>
        <w:tc>
          <w:tcPr>
            <w:tcW w:w="2268" w:type="dxa"/>
            <w:vAlign w:val="center"/>
          </w:tcPr>
          <w:p w14:paraId="6BE905B3" w14:textId="77777777" w:rsidR="00CA649D" w:rsidRDefault="00CA649D">
            <w:pPr>
              <w:overflowPunct/>
              <w:topLinePunct w:val="0"/>
              <w:spacing w:line="560" w:lineRule="exact"/>
              <w:rPr>
                <w:rFonts w:ascii="仿宋_GB2312" w:hAnsi="仿宋_GB2312" w:cs="仿宋_GB2312"/>
                <w:sz w:val="21"/>
                <w:szCs w:val="21"/>
              </w:rPr>
            </w:pPr>
          </w:p>
        </w:tc>
        <w:tc>
          <w:tcPr>
            <w:tcW w:w="1354" w:type="dxa"/>
            <w:vAlign w:val="center"/>
          </w:tcPr>
          <w:p w14:paraId="658C8415" w14:textId="77777777" w:rsidR="00CA649D" w:rsidRDefault="00CA649D">
            <w:pPr>
              <w:overflowPunct/>
              <w:topLinePunct w:val="0"/>
              <w:spacing w:line="560" w:lineRule="exact"/>
              <w:rPr>
                <w:rFonts w:ascii="仿宋_GB2312" w:hAnsi="仿宋_GB2312" w:cs="仿宋_GB2312"/>
                <w:sz w:val="21"/>
                <w:szCs w:val="21"/>
              </w:rPr>
            </w:pPr>
          </w:p>
        </w:tc>
      </w:tr>
      <w:tr w:rsidR="00CA649D" w14:paraId="19079BEA" w14:textId="77777777">
        <w:trPr>
          <w:trHeight w:val="850"/>
          <w:jc w:val="center"/>
        </w:trPr>
        <w:tc>
          <w:tcPr>
            <w:tcW w:w="629" w:type="dxa"/>
            <w:vAlign w:val="center"/>
          </w:tcPr>
          <w:p w14:paraId="498C5AD8"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2</w:t>
            </w:r>
          </w:p>
        </w:tc>
        <w:tc>
          <w:tcPr>
            <w:tcW w:w="1096" w:type="dxa"/>
            <w:vMerge/>
          </w:tcPr>
          <w:p w14:paraId="2885F58C"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3629D6F9" w14:textId="77777777" w:rsidR="00CA649D" w:rsidRDefault="00ED6D64">
            <w:pPr>
              <w:overflowPunct/>
              <w:topLinePunct w:val="0"/>
              <w:spacing w:line="400" w:lineRule="exact"/>
              <w:rPr>
                <w:rFonts w:ascii="仿宋_GB2312" w:hAnsi="仿宋_GB2312" w:cs="仿宋_GB2312"/>
                <w:sz w:val="21"/>
                <w:szCs w:val="21"/>
              </w:rPr>
            </w:pPr>
            <w:r>
              <w:rPr>
                <w:rFonts w:ascii="仿宋_GB2312" w:hAnsi="仿宋_GB2312" w:cs="仿宋_GB2312" w:hint="eastAsia"/>
                <w:color w:val="000000"/>
                <w:sz w:val="21"/>
                <w:szCs w:val="21"/>
              </w:rPr>
              <w:t>燃气气瓶</w:t>
            </w:r>
            <w:proofErr w:type="gramStart"/>
            <w:r>
              <w:rPr>
                <w:rFonts w:ascii="仿宋_GB2312" w:hAnsi="仿宋_GB2312" w:cs="仿宋_GB2312" w:hint="eastAsia"/>
                <w:color w:val="000000"/>
                <w:sz w:val="21"/>
                <w:szCs w:val="21"/>
              </w:rPr>
              <w:t>未逐</w:t>
            </w:r>
            <w:proofErr w:type="gramEnd"/>
            <w:r>
              <w:rPr>
                <w:rFonts w:ascii="仿宋_GB2312" w:hAnsi="仿宋_GB2312" w:cs="仿宋_GB2312" w:hint="eastAsia"/>
                <w:color w:val="000000"/>
                <w:sz w:val="21"/>
                <w:szCs w:val="21"/>
              </w:rPr>
              <w:t>只设置永久性电子识读标志并实现在线查询/家</w:t>
            </w:r>
          </w:p>
        </w:tc>
        <w:tc>
          <w:tcPr>
            <w:tcW w:w="2418" w:type="dxa"/>
          </w:tcPr>
          <w:p w14:paraId="7E28E37F"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1AC8590"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528C93B1"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760AD7D9" w14:textId="77777777" w:rsidR="00CA649D" w:rsidRDefault="00CA649D">
            <w:pPr>
              <w:overflowPunct/>
              <w:topLinePunct w:val="0"/>
              <w:spacing w:line="560" w:lineRule="exact"/>
              <w:rPr>
                <w:rFonts w:ascii="仿宋_GB2312" w:hAnsi="仿宋_GB2312" w:cs="仿宋_GB2312"/>
                <w:sz w:val="21"/>
                <w:szCs w:val="21"/>
              </w:rPr>
            </w:pPr>
          </w:p>
        </w:tc>
      </w:tr>
      <w:tr w:rsidR="00CA649D" w14:paraId="11A5923B" w14:textId="77777777">
        <w:trPr>
          <w:trHeight w:val="340"/>
          <w:jc w:val="center"/>
        </w:trPr>
        <w:tc>
          <w:tcPr>
            <w:tcW w:w="629" w:type="dxa"/>
            <w:vAlign w:val="center"/>
          </w:tcPr>
          <w:p w14:paraId="53F5320E"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3</w:t>
            </w:r>
          </w:p>
        </w:tc>
        <w:tc>
          <w:tcPr>
            <w:tcW w:w="1096" w:type="dxa"/>
            <w:vMerge/>
          </w:tcPr>
          <w:p w14:paraId="008E18F5"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6660289F"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暂停监检</w:t>
            </w:r>
            <w:r>
              <w:rPr>
                <w:rFonts w:ascii="仿宋_GB2312" w:hAnsi="仿宋_GB2312" w:cs="仿宋_GB2312" w:hint="eastAsia"/>
                <w:color w:val="000000"/>
                <w:sz w:val="21"/>
                <w:szCs w:val="21"/>
              </w:rPr>
              <w:t>/家</w:t>
            </w:r>
          </w:p>
        </w:tc>
        <w:tc>
          <w:tcPr>
            <w:tcW w:w="2418" w:type="dxa"/>
          </w:tcPr>
          <w:p w14:paraId="12034FC1"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241764F3"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0887CD8"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7F2A37A4" w14:textId="77777777" w:rsidR="00CA649D" w:rsidRDefault="00CA649D">
            <w:pPr>
              <w:overflowPunct/>
              <w:topLinePunct w:val="0"/>
              <w:spacing w:line="560" w:lineRule="exact"/>
              <w:rPr>
                <w:rFonts w:ascii="仿宋_GB2312" w:hAnsi="仿宋_GB2312" w:cs="仿宋_GB2312"/>
                <w:sz w:val="21"/>
                <w:szCs w:val="21"/>
              </w:rPr>
            </w:pPr>
          </w:p>
        </w:tc>
      </w:tr>
      <w:tr w:rsidR="00CA649D" w14:paraId="3EEB47D4" w14:textId="77777777">
        <w:trPr>
          <w:trHeight w:val="340"/>
          <w:jc w:val="center"/>
        </w:trPr>
        <w:tc>
          <w:tcPr>
            <w:tcW w:w="629" w:type="dxa"/>
            <w:vAlign w:val="center"/>
          </w:tcPr>
          <w:p w14:paraId="17E79A75"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4</w:t>
            </w:r>
          </w:p>
        </w:tc>
        <w:tc>
          <w:tcPr>
            <w:tcW w:w="1096" w:type="dxa"/>
            <w:vMerge/>
          </w:tcPr>
          <w:p w14:paraId="2B1D36B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1ACA18BA"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召回产品</w:t>
            </w:r>
            <w:r>
              <w:rPr>
                <w:rFonts w:ascii="仿宋_GB2312" w:hAnsi="仿宋_GB2312" w:cs="仿宋_GB2312" w:hint="eastAsia"/>
                <w:color w:val="000000"/>
                <w:sz w:val="21"/>
                <w:szCs w:val="21"/>
              </w:rPr>
              <w:t>/家</w:t>
            </w:r>
          </w:p>
        </w:tc>
        <w:tc>
          <w:tcPr>
            <w:tcW w:w="2418" w:type="dxa"/>
          </w:tcPr>
          <w:p w14:paraId="56235B28"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256CE13A"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5D0943C9"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477A6E6E" w14:textId="77777777" w:rsidR="00CA649D" w:rsidRDefault="00CA649D">
            <w:pPr>
              <w:overflowPunct/>
              <w:topLinePunct w:val="0"/>
              <w:spacing w:line="560" w:lineRule="exact"/>
              <w:rPr>
                <w:rFonts w:ascii="仿宋_GB2312" w:hAnsi="仿宋_GB2312" w:cs="仿宋_GB2312"/>
                <w:sz w:val="21"/>
                <w:szCs w:val="21"/>
              </w:rPr>
            </w:pPr>
          </w:p>
        </w:tc>
      </w:tr>
      <w:tr w:rsidR="00CA649D" w14:paraId="2A03D511" w14:textId="77777777">
        <w:trPr>
          <w:trHeight w:val="340"/>
          <w:jc w:val="center"/>
        </w:trPr>
        <w:tc>
          <w:tcPr>
            <w:tcW w:w="629" w:type="dxa"/>
            <w:vAlign w:val="center"/>
          </w:tcPr>
          <w:p w14:paraId="632F6FFF"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5</w:t>
            </w:r>
          </w:p>
        </w:tc>
        <w:tc>
          <w:tcPr>
            <w:tcW w:w="1096" w:type="dxa"/>
            <w:vMerge w:val="restart"/>
            <w:vAlign w:val="center"/>
          </w:tcPr>
          <w:p w14:paraId="2DE87DA1"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燃气气瓶充装单位</w:t>
            </w:r>
          </w:p>
        </w:tc>
        <w:tc>
          <w:tcPr>
            <w:tcW w:w="3601" w:type="dxa"/>
            <w:vAlign w:val="center"/>
          </w:tcPr>
          <w:p w14:paraId="4B2843DB"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数量</w:t>
            </w:r>
            <w:r>
              <w:rPr>
                <w:rFonts w:ascii="仿宋_GB2312" w:hAnsi="仿宋_GB2312" w:cs="仿宋_GB2312" w:hint="eastAsia"/>
                <w:color w:val="000000"/>
                <w:sz w:val="21"/>
                <w:szCs w:val="21"/>
              </w:rPr>
              <w:t>/家</w:t>
            </w:r>
          </w:p>
        </w:tc>
        <w:tc>
          <w:tcPr>
            <w:tcW w:w="2418" w:type="dxa"/>
          </w:tcPr>
          <w:p w14:paraId="62C01581"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7E05D3BF"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0993714"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50E2DB4C" w14:textId="77777777" w:rsidR="00CA649D" w:rsidRDefault="00CA649D">
            <w:pPr>
              <w:overflowPunct/>
              <w:topLinePunct w:val="0"/>
              <w:spacing w:line="560" w:lineRule="exact"/>
              <w:rPr>
                <w:rFonts w:ascii="仿宋_GB2312" w:hAnsi="仿宋_GB2312" w:cs="仿宋_GB2312"/>
                <w:sz w:val="21"/>
                <w:szCs w:val="21"/>
              </w:rPr>
            </w:pPr>
          </w:p>
        </w:tc>
      </w:tr>
      <w:tr w:rsidR="00CA649D" w14:paraId="34FDD931" w14:textId="77777777">
        <w:trPr>
          <w:trHeight w:val="340"/>
          <w:jc w:val="center"/>
        </w:trPr>
        <w:tc>
          <w:tcPr>
            <w:tcW w:w="629" w:type="dxa"/>
            <w:vAlign w:val="center"/>
          </w:tcPr>
          <w:p w14:paraId="7011BA93"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6</w:t>
            </w:r>
          </w:p>
        </w:tc>
        <w:tc>
          <w:tcPr>
            <w:tcW w:w="1096" w:type="dxa"/>
            <w:vMerge/>
          </w:tcPr>
          <w:p w14:paraId="732F8B97"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020B192B"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已建立充装安全追溯平台</w:t>
            </w:r>
            <w:r>
              <w:rPr>
                <w:rFonts w:ascii="仿宋_GB2312" w:hAnsi="仿宋_GB2312" w:cs="仿宋_GB2312" w:hint="eastAsia"/>
                <w:color w:val="000000"/>
                <w:sz w:val="21"/>
                <w:szCs w:val="21"/>
              </w:rPr>
              <w:t>/家</w:t>
            </w:r>
          </w:p>
        </w:tc>
        <w:tc>
          <w:tcPr>
            <w:tcW w:w="2418" w:type="dxa"/>
          </w:tcPr>
          <w:p w14:paraId="7ED13D17"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C219D95"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70A74234"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5BA3C65E" w14:textId="77777777" w:rsidR="00CA649D" w:rsidRDefault="00CA649D">
            <w:pPr>
              <w:overflowPunct/>
              <w:topLinePunct w:val="0"/>
              <w:spacing w:line="560" w:lineRule="exact"/>
              <w:rPr>
                <w:rFonts w:ascii="仿宋_GB2312" w:hAnsi="仿宋_GB2312" w:cs="仿宋_GB2312"/>
                <w:sz w:val="21"/>
                <w:szCs w:val="21"/>
              </w:rPr>
            </w:pPr>
          </w:p>
        </w:tc>
      </w:tr>
      <w:tr w:rsidR="00CA649D" w14:paraId="2DBC657A" w14:textId="77777777">
        <w:trPr>
          <w:trHeight w:val="340"/>
          <w:jc w:val="center"/>
        </w:trPr>
        <w:tc>
          <w:tcPr>
            <w:tcW w:w="629" w:type="dxa"/>
            <w:vAlign w:val="center"/>
          </w:tcPr>
          <w:p w14:paraId="09820CDD"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7</w:t>
            </w:r>
          </w:p>
        </w:tc>
        <w:tc>
          <w:tcPr>
            <w:tcW w:w="1096" w:type="dxa"/>
            <w:vMerge/>
          </w:tcPr>
          <w:p w14:paraId="5D342884"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35032C91"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已建立报废气瓶台账/家</w:t>
            </w:r>
          </w:p>
        </w:tc>
        <w:tc>
          <w:tcPr>
            <w:tcW w:w="2418" w:type="dxa"/>
          </w:tcPr>
          <w:p w14:paraId="55D17DA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0CD8A37"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83C3C11"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49D93B15" w14:textId="77777777" w:rsidR="00CA649D" w:rsidRDefault="00CA649D">
            <w:pPr>
              <w:overflowPunct/>
              <w:topLinePunct w:val="0"/>
              <w:spacing w:line="560" w:lineRule="exact"/>
              <w:rPr>
                <w:rFonts w:ascii="仿宋_GB2312" w:hAnsi="仿宋_GB2312" w:cs="仿宋_GB2312"/>
                <w:sz w:val="21"/>
                <w:szCs w:val="21"/>
              </w:rPr>
            </w:pPr>
          </w:p>
        </w:tc>
      </w:tr>
      <w:tr w:rsidR="00CA649D" w14:paraId="0F7A99F0" w14:textId="77777777">
        <w:trPr>
          <w:trHeight w:val="340"/>
          <w:jc w:val="center"/>
        </w:trPr>
        <w:tc>
          <w:tcPr>
            <w:tcW w:w="629" w:type="dxa"/>
            <w:vAlign w:val="center"/>
          </w:tcPr>
          <w:p w14:paraId="2F8DD2C9"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8</w:t>
            </w:r>
          </w:p>
        </w:tc>
        <w:tc>
          <w:tcPr>
            <w:tcW w:w="1096" w:type="dxa"/>
            <w:vMerge/>
          </w:tcPr>
          <w:p w14:paraId="6EDC3E36"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124B8B9D"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逐瓶购买充装安全责任保险/家</w:t>
            </w:r>
          </w:p>
        </w:tc>
        <w:tc>
          <w:tcPr>
            <w:tcW w:w="2418" w:type="dxa"/>
          </w:tcPr>
          <w:p w14:paraId="7737D26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38EFD54"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F993F95"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0528F639" w14:textId="77777777" w:rsidR="00CA649D" w:rsidRDefault="00CA649D">
            <w:pPr>
              <w:overflowPunct/>
              <w:topLinePunct w:val="0"/>
              <w:spacing w:line="560" w:lineRule="exact"/>
              <w:rPr>
                <w:rFonts w:ascii="仿宋_GB2312" w:hAnsi="仿宋_GB2312" w:cs="仿宋_GB2312"/>
                <w:sz w:val="21"/>
                <w:szCs w:val="21"/>
              </w:rPr>
            </w:pPr>
          </w:p>
        </w:tc>
      </w:tr>
      <w:tr w:rsidR="00CA649D" w14:paraId="0F619B70" w14:textId="77777777">
        <w:trPr>
          <w:trHeight w:val="340"/>
          <w:jc w:val="center"/>
        </w:trPr>
        <w:tc>
          <w:tcPr>
            <w:tcW w:w="629" w:type="dxa"/>
            <w:vAlign w:val="center"/>
          </w:tcPr>
          <w:p w14:paraId="6D704CA0"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lastRenderedPageBreak/>
              <w:t>9</w:t>
            </w:r>
          </w:p>
        </w:tc>
        <w:tc>
          <w:tcPr>
            <w:tcW w:w="1096" w:type="dxa"/>
            <w:vMerge/>
          </w:tcPr>
          <w:p w14:paraId="0838780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79629A82"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kern w:val="0"/>
                <w:sz w:val="21"/>
                <w:szCs w:val="21"/>
              </w:rPr>
              <w:t>查处充装超期未检气瓶</w:t>
            </w:r>
            <w:r>
              <w:rPr>
                <w:rFonts w:ascii="仿宋_GB2312" w:hAnsi="仿宋_GB2312" w:cs="仿宋_GB2312" w:hint="eastAsia"/>
                <w:color w:val="000000"/>
                <w:sz w:val="21"/>
                <w:szCs w:val="21"/>
              </w:rPr>
              <w:t>/家</w:t>
            </w:r>
          </w:p>
        </w:tc>
        <w:tc>
          <w:tcPr>
            <w:tcW w:w="2418" w:type="dxa"/>
          </w:tcPr>
          <w:p w14:paraId="56CE5CDE"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5CDA35D"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7D010424"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2B08E5B8" w14:textId="77777777" w:rsidR="00CA649D" w:rsidRDefault="00CA649D">
            <w:pPr>
              <w:overflowPunct/>
              <w:topLinePunct w:val="0"/>
              <w:spacing w:line="560" w:lineRule="exact"/>
              <w:rPr>
                <w:rFonts w:ascii="仿宋_GB2312" w:hAnsi="仿宋_GB2312" w:cs="仿宋_GB2312"/>
                <w:sz w:val="21"/>
                <w:szCs w:val="21"/>
              </w:rPr>
            </w:pPr>
          </w:p>
        </w:tc>
      </w:tr>
      <w:tr w:rsidR="00CA649D" w14:paraId="1F6EA9B3" w14:textId="77777777">
        <w:trPr>
          <w:trHeight w:val="340"/>
          <w:jc w:val="center"/>
        </w:trPr>
        <w:tc>
          <w:tcPr>
            <w:tcW w:w="629" w:type="dxa"/>
            <w:vAlign w:val="center"/>
          </w:tcPr>
          <w:p w14:paraId="2E94D821"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10</w:t>
            </w:r>
          </w:p>
        </w:tc>
        <w:tc>
          <w:tcPr>
            <w:tcW w:w="1096" w:type="dxa"/>
            <w:vMerge/>
          </w:tcPr>
          <w:p w14:paraId="1F34258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2E91A1F0" w14:textId="77777777" w:rsidR="00CA649D" w:rsidRDefault="00ED6D64">
            <w:pPr>
              <w:topLinePunct w:val="0"/>
              <w:spacing w:line="480" w:lineRule="exact"/>
              <w:rPr>
                <w:rFonts w:ascii="仿宋_GB2312" w:hAnsi="仿宋_GB2312" w:cs="仿宋_GB2312"/>
                <w:kern w:val="0"/>
                <w:sz w:val="21"/>
                <w:szCs w:val="21"/>
              </w:rPr>
            </w:pPr>
            <w:r>
              <w:rPr>
                <w:rFonts w:ascii="仿宋_GB2312" w:hAnsi="仿宋_GB2312" w:cs="仿宋_GB2312" w:hint="eastAsia"/>
                <w:kern w:val="0"/>
                <w:sz w:val="21"/>
                <w:szCs w:val="21"/>
              </w:rPr>
              <w:t>查处充装“黑气瓶”报废气瓶</w:t>
            </w:r>
            <w:r>
              <w:rPr>
                <w:rFonts w:ascii="仿宋_GB2312" w:hAnsi="仿宋_GB2312" w:cs="仿宋_GB2312" w:hint="eastAsia"/>
                <w:color w:val="000000"/>
                <w:sz w:val="21"/>
                <w:szCs w:val="21"/>
              </w:rPr>
              <w:t>/家</w:t>
            </w:r>
          </w:p>
        </w:tc>
        <w:tc>
          <w:tcPr>
            <w:tcW w:w="2418" w:type="dxa"/>
          </w:tcPr>
          <w:p w14:paraId="23FE3680"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A7D9CD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FF619B3"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4F44DA11" w14:textId="77777777" w:rsidR="00CA649D" w:rsidRDefault="00CA649D">
            <w:pPr>
              <w:overflowPunct/>
              <w:topLinePunct w:val="0"/>
              <w:spacing w:line="560" w:lineRule="exact"/>
              <w:rPr>
                <w:rFonts w:ascii="仿宋_GB2312" w:hAnsi="仿宋_GB2312" w:cs="仿宋_GB2312"/>
                <w:sz w:val="21"/>
                <w:szCs w:val="21"/>
              </w:rPr>
            </w:pPr>
          </w:p>
        </w:tc>
      </w:tr>
      <w:tr w:rsidR="00CA649D" w14:paraId="1649DA23" w14:textId="77777777">
        <w:trPr>
          <w:trHeight w:val="340"/>
          <w:jc w:val="center"/>
        </w:trPr>
        <w:tc>
          <w:tcPr>
            <w:tcW w:w="629" w:type="dxa"/>
            <w:vAlign w:val="center"/>
          </w:tcPr>
          <w:p w14:paraId="7371049A"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11</w:t>
            </w:r>
          </w:p>
        </w:tc>
        <w:tc>
          <w:tcPr>
            <w:tcW w:w="1096" w:type="dxa"/>
            <w:vMerge/>
          </w:tcPr>
          <w:p w14:paraId="51CA7A36"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5FBF439B" w14:textId="77777777" w:rsidR="00CA649D" w:rsidRDefault="00ED6D64">
            <w:pPr>
              <w:topLinePunct w:val="0"/>
              <w:spacing w:line="480" w:lineRule="exact"/>
              <w:rPr>
                <w:rFonts w:ascii="仿宋_GB2312" w:hAnsi="仿宋_GB2312" w:cs="仿宋_GB2312"/>
                <w:kern w:val="0"/>
                <w:sz w:val="21"/>
                <w:szCs w:val="21"/>
              </w:rPr>
            </w:pPr>
            <w:r>
              <w:rPr>
                <w:rFonts w:ascii="仿宋_GB2312" w:hAnsi="仿宋_GB2312" w:cs="仿宋_GB2312" w:hint="eastAsia"/>
                <w:kern w:val="0"/>
                <w:sz w:val="21"/>
                <w:szCs w:val="21"/>
              </w:rPr>
              <w:t>查处购置翻新“黑气瓶”</w:t>
            </w:r>
            <w:r>
              <w:rPr>
                <w:rFonts w:ascii="仿宋_GB2312" w:hAnsi="仿宋_GB2312" w:cs="仿宋_GB2312" w:hint="eastAsia"/>
                <w:color w:val="000000"/>
                <w:sz w:val="21"/>
                <w:szCs w:val="21"/>
              </w:rPr>
              <w:t>/家</w:t>
            </w:r>
          </w:p>
        </w:tc>
        <w:tc>
          <w:tcPr>
            <w:tcW w:w="2418" w:type="dxa"/>
          </w:tcPr>
          <w:p w14:paraId="479170EB"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1A5B885"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DA4954B"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6E0022F4" w14:textId="77777777" w:rsidR="00CA649D" w:rsidRDefault="00CA649D">
            <w:pPr>
              <w:overflowPunct/>
              <w:topLinePunct w:val="0"/>
              <w:spacing w:line="560" w:lineRule="exact"/>
              <w:rPr>
                <w:rFonts w:ascii="仿宋_GB2312" w:hAnsi="仿宋_GB2312" w:cs="仿宋_GB2312"/>
                <w:sz w:val="21"/>
                <w:szCs w:val="21"/>
              </w:rPr>
            </w:pPr>
          </w:p>
        </w:tc>
      </w:tr>
      <w:tr w:rsidR="00CA649D" w14:paraId="64D9895A" w14:textId="77777777">
        <w:trPr>
          <w:trHeight w:val="340"/>
          <w:jc w:val="center"/>
        </w:trPr>
        <w:tc>
          <w:tcPr>
            <w:tcW w:w="629" w:type="dxa"/>
            <w:vAlign w:val="center"/>
          </w:tcPr>
          <w:p w14:paraId="2A422EFB"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12</w:t>
            </w:r>
          </w:p>
        </w:tc>
        <w:tc>
          <w:tcPr>
            <w:tcW w:w="1096" w:type="dxa"/>
            <w:vMerge/>
          </w:tcPr>
          <w:p w14:paraId="48112AD9"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55A5B49A" w14:textId="77777777" w:rsidR="00CA649D" w:rsidRDefault="00ED6D64">
            <w:pPr>
              <w:topLinePunct w:val="0"/>
              <w:spacing w:line="480" w:lineRule="exact"/>
              <w:rPr>
                <w:rFonts w:ascii="仿宋_GB2312" w:hAnsi="仿宋_GB2312" w:cs="仿宋_GB2312"/>
                <w:kern w:val="0"/>
                <w:sz w:val="21"/>
                <w:szCs w:val="21"/>
              </w:rPr>
            </w:pPr>
            <w:r>
              <w:rPr>
                <w:rFonts w:ascii="仿宋_GB2312" w:hAnsi="仿宋_GB2312" w:cs="仿宋_GB2312" w:hint="eastAsia"/>
                <w:kern w:val="0"/>
                <w:sz w:val="21"/>
                <w:szCs w:val="21"/>
              </w:rPr>
              <w:t>查处无证充装</w:t>
            </w:r>
            <w:r>
              <w:rPr>
                <w:rFonts w:ascii="仿宋_GB2312" w:hAnsi="仿宋_GB2312" w:cs="仿宋_GB2312" w:hint="eastAsia"/>
                <w:color w:val="000000"/>
                <w:sz w:val="21"/>
                <w:szCs w:val="21"/>
              </w:rPr>
              <w:t>/家</w:t>
            </w:r>
          </w:p>
        </w:tc>
        <w:tc>
          <w:tcPr>
            <w:tcW w:w="2418" w:type="dxa"/>
          </w:tcPr>
          <w:p w14:paraId="510E55C1"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2DFCB6D7"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52FF14E5"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1ED17746" w14:textId="77777777" w:rsidR="00CA649D" w:rsidRDefault="00CA649D">
            <w:pPr>
              <w:overflowPunct/>
              <w:topLinePunct w:val="0"/>
              <w:spacing w:line="560" w:lineRule="exact"/>
              <w:rPr>
                <w:rFonts w:ascii="仿宋_GB2312" w:hAnsi="仿宋_GB2312" w:cs="仿宋_GB2312"/>
                <w:sz w:val="21"/>
                <w:szCs w:val="21"/>
              </w:rPr>
            </w:pPr>
          </w:p>
        </w:tc>
      </w:tr>
      <w:tr w:rsidR="00CA649D" w14:paraId="501827E0" w14:textId="77777777">
        <w:trPr>
          <w:trHeight w:val="340"/>
          <w:jc w:val="center"/>
        </w:trPr>
        <w:tc>
          <w:tcPr>
            <w:tcW w:w="629" w:type="dxa"/>
            <w:vAlign w:val="center"/>
          </w:tcPr>
          <w:p w14:paraId="08772222"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13</w:t>
            </w:r>
          </w:p>
        </w:tc>
        <w:tc>
          <w:tcPr>
            <w:tcW w:w="1096" w:type="dxa"/>
            <w:vMerge/>
          </w:tcPr>
          <w:p w14:paraId="5D651D0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0B18B6D2"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已整改违法违规行为</w:t>
            </w:r>
            <w:r>
              <w:rPr>
                <w:rFonts w:ascii="仿宋_GB2312" w:hAnsi="仿宋_GB2312" w:cs="仿宋_GB2312" w:hint="eastAsia"/>
                <w:color w:val="000000"/>
                <w:sz w:val="21"/>
                <w:szCs w:val="21"/>
              </w:rPr>
              <w:t>/家</w:t>
            </w:r>
          </w:p>
        </w:tc>
        <w:tc>
          <w:tcPr>
            <w:tcW w:w="2418" w:type="dxa"/>
          </w:tcPr>
          <w:p w14:paraId="4E2A5F1E"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A8FF104"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F1E0E9B"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0F231638" w14:textId="77777777" w:rsidR="00CA649D" w:rsidRDefault="00CA649D">
            <w:pPr>
              <w:overflowPunct/>
              <w:topLinePunct w:val="0"/>
              <w:spacing w:line="560" w:lineRule="exact"/>
              <w:rPr>
                <w:rFonts w:ascii="仿宋_GB2312" w:hAnsi="仿宋_GB2312" w:cs="仿宋_GB2312"/>
                <w:sz w:val="21"/>
                <w:szCs w:val="21"/>
              </w:rPr>
            </w:pPr>
          </w:p>
        </w:tc>
      </w:tr>
      <w:tr w:rsidR="00CA649D" w14:paraId="131019C7" w14:textId="77777777">
        <w:trPr>
          <w:trHeight w:val="340"/>
          <w:jc w:val="center"/>
        </w:trPr>
        <w:tc>
          <w:tcPr>
            <w:tcW w:w="629" w:type="dxa"/>
            <w:vAlign w:val="center"/>
          </w:tcPr>
          <w:p w14:paraId="49BEABCB"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14</w:t>
            </w:r>
          </w:p>
        </w:tc>
        <w:tc>
          <w:tcPr>
            <w:tcW w:w="1096" w:type="dxa"/>
            <w:vMerge w:val="restart"/>
            <w:vAlign w:val="center"/>
          </w:tcPr>
          <w:p w14:paraId="32D16868"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燃气气瓶检验机构</w:t>
            </w:r>
          </w:p>
        </w:tc>
        <w:tc>
          <w:tcPr>
            <w:tcW w:w="3601" w:type="dxa"/>
            <w:vAlign w:val="center"/>
          </w:tcPr>
          <w:p w14:paraId="269F3992"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sz w:val="21"/>
                <w:szCs w:val="21"/>
              </w:rPr>
              <w:t>已建立报废气瓶台账/家</w:t>
            </w:r>
          </w:p>
        </w:tc>
        <w:tc>
          <w:tcPr>
            <w:tcW w:w="2418" w:type="dxa"/>
          </w:tcPr>
          <w:p w14:paraId="45705D1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2AF5CE0"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1C8AAEFB"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0F67901B" w14:textId="77777777" w:rsidR="00CA649D" w:rsidRDefault="00CA649D">
            <w:pPr>
              <w:overflowPunct/>
              <w:topLinePunct w:val="0"/>
              <w:spacing w:line="560" w:lineRule="exact"/>
              <w:rPr>
                <w:rFonts w:ascii="仿宋_GB2312" w:hAnsi="仿宋_GB2312" w:cs="仿宋_GB2312"/>
                <w:sz w:val="21"/>
                <w:szCs w:val="21"/>
              </w:rPr>
            </w:pPr>
          </w:p>
        </w:tc>
      </w:tr>
      <w:tr w:rsidR="00CA649D" w14:paraId="3A9EE7F0" w14:textId="77777777">
        <w:trPr>
          <w:trHeight w:val="340"/>
          <w:jc w:val="center"/>
        </w:trPr>
        <w:tc>
          <w:tcPr>
            <w:tcW w:w="629" w:type="dxa"/>
            <w:vAlign w:val="center"/>
          </w:tcPr>
          <w:p w14:paraId="6BB9A315"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15</w:t>
            </w:r>
          </w:p>
        </w:tc>
        <w:tc>
          <w:tcPr>
            <w:tcW w:w="1096" w:type="dxa"/>
            <w:vMerge/>
          </w:tcPr>
          <w:p w14:paraId="4BB25AE2"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14556C7E"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查处制售翻新“黑气瓶”</w:t>
            </w:r>
            <w:r>
              <w:rPr>
                <w:rFonts w:ascii="仿宋_GB2312" w:hAnsi="仿宋_GB2312" w:cs="仿宋_GB2312" w:hint="eastAsia"/>
                <w:color w:val="000000"/>
                <w:sz w:val="21"/>
                <w:szCs w:val="21"/>
              </w:rPr>
              <w:t>/家</w:t>
            </w:r>
          </w:p>
        </w:tc>
        <w:tc>
          <w:tcPr>
            <w:tcW w:w="2418" w:type="dxa"/>
          </w:tcPr>
          <w:p w14:paraId="2C2FCFD4"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144B861"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4623C35"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47AC5DFF" w14:textId="77777777" w:rsidR="00CA649D" w:rsidRDefault="00CA649D">
            <w:pPr>
              <w:overflowPunct/>
              <w:topLinePunct w:val="0"/>
              <w:spacing w:line="560" w:lineRule="exact"/>
              <w:rPr>
                <w:rFonts w:ascii="仿宋_GB2312" w:hAnsi="仿宋_GB2312" w:cs="仿宋_GB2312"/>
                <w:sz w:val="21"/>
                <w:szCs w:val="21"/>
              </w:rPr>
            </w:pPr>
          </w:p>
        </w:tc>
      </w:tr>
      <w:tr w:rsidR="00CA649D" w14:paraId="23B03F06" w14:textId="77777777">
        <w:trPr>
          <w:trHeight w:val="340"/>
          <w:jc w:val="center"/>
        </w:trPr>
        <w:tc>
          <w:tcPr>
            <w:tcW w:w="629" w:type="dxa"/>
            <w:vAlign w:val="center"/>
          </w:tcPr>
          <w:p w14:paraId="7D34B607"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16</w:t>
            </w:r>
          </w:p>
        </w:tc>
        <w:tc>
          <w:tcPr>
            <w:tcW w:w="1096" w:type="dxa"/>
            <w:vMerge/>
          </w:tcPr>
          <w:p w14:paraId="6A38348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09454245"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kern w:val="0"/>
                <w:sz w:val="21"/>
                <w:szCs w:val="21"/>
              </w:rPr>
              <w:t>查处出具虚假检验报告</w:t>
            </w:r>
            <w:r>
              <w:rPr>
                <w:rFonts w:ascii="仿宋_GB2312" w:hAnsi="仿宋_GB2312" w:cs="仿宋_GB2312" w:hint="eastAsia"/>
                <w:color w:val="000000"/>
                <w:sz w:val="21"/>
                <w:szCs w:val="21"/>
              </w:rPr>
              <w:t>/家</w:t>
            </w:r>
          </w:p>
        </w:tc>
        <w:tc>
          <w:tcPr>
            <w:tcW w:w="2418" w:type="dxa"/>
          </w:tcPr>
          <w:p w14:paraId="410C0F4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06B227AE"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7BA8E35F"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1927B750" w14:textId="77777777" w:rsidR="00CA649D" w:rsidRDefault="00CA649D">
            <w:pPr>
              <w:overflowPunct/>
              <w:topLinePunct w:val="0"/>
              <w:spacing w:line="560" w:lineRule="exact"/>
              <w:rPr>
                <w:rFonts w:ascii="仿宋_GB2312" w:hAnsi="仿宋_GB2312" w:cs="仿宋_GB2312"/>
                <w:sz w:val="21"/>
                <w:szCs w:val="21"/>
              </w:rPr>
            </w:pPr>
          </w:p>
        </w:tc>
      </w:tr>
      <w:tr w:rsidR="00CA649D" w14:paraId="1BE8D986" w14:textId="77777777">
        <w:trPr>
          <w:trHeight w:val="340"/>
          <w:jc w:val="center"/>
        </w:trPr>
        <w:tc>
          <w:tcPr>
            <w:tcW w:w="629" w:type="dxa"/>
            <w:vAlign w:val="center"/>
          </w:tcPr>
          <w:p w14:paraId="3B6E7D2E"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17</w:t>
            </w:r>
          </w:p>
        </w:tc>
        <w:tc>
          <w:tcPr>
            <w:tcW w:w="1096" w:type="dxa"/>
            <w:vMerge/>
          </w:tcPr>
          <w:p w14:paraId="18C529CD"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5EE15A03"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已整改违法违规行为</w:t>
            </w:r>
            <w:r>
              <w:rPr>
                <w:rFonts w:ascii="仿宋_GB2312" w:hAnsi="仿宋_GB2312" w:cs="仿宋_GB2312" w:hint="eastAsia"/>
                <w:color w:val="000000"/>
                <w:sz w:val="21"/>
                <w:szCs w:val="21"/>
              </w:rPr>
              <w:t>/家</w:t>
            </w:r>
          </w:p>
        </w:tc>
        <w:tc>
          <w:tcPr>
            <w:tcW w:w="2418" w:type="dxa"/>
          </w:tcPr>
          <w:p w14:paraId="06471C4E"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71158F6F"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32C90E1"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3FBEF5CF" w14:textId="77777777" w:rsidR="00CA649D" w:rsidRDefault="00CA649D">
            <w:pPr>
              <w:overflowPunct/>
              <w:topLinePunct w:val="0"/>
              <w:spacing w:line="560" w:lineRule="exact"/>
              <w:rPr>
                <w:rFonts w:ascii="仿宋_GB2312" w:hAnsi="仿宋_GB2312" w:cs="仿宋_GB2312"/>
                <w:sz w:val="21"/>
                <w:szCs w:val="21"/>
              </w:rPr>
            </w:pPr>
          </w:p>
        </w:tc>
      </w:tr>
      <w:tr w:rsidR="00CA649D" w14:paraId="4A75C20B" w14:textId="77777777">
        <w:trPr>
          <w:trHeight w:val="340"/>
          <w:jc w:val="center"/>
        </w:trPr>
        <w:tc>
          <w:tcPr>
            <w:tcW w:w="629" w:type="dxa"/>
            <w:vAlign w:val="center"/>
          </w:tcPr>
          <w:p w14:paraId="4EED9C8E"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18</w:t>
            </w:r>
          </w:p>
        </w:tc>
        <w:tc>
          <w:tcPr>
            <w:tcW w:w="1096" w:type="dxa"/>
            <w:vMerge w:val="restart"/>
            <w:vAlign w:val="center"/>
          </w:tcPr>
          <w:p w14:paraId="0C9BDA3E" w14:textId="77777777" w:rsidR="00CA649D" w:rsidRDefault="00ED6D64">
            <w:pPr>
              <w:overflowPunct/>
              <w:topLinePunct w:val="0"/>
              <w:spacing w:line="560" w:lineRule="exact"/>
              <w:rPr>
                <w:rFonts w:ascii="仿宋_GB2312" w:hAnsi="仿宋_GB2312" w:cs="仿宋_GB2312"/>
                <w:sz w:val="21"/>
                <w:szCs w:val="21"/>
              </w:rPr>
            </w:pPr>
            <w:r>
              <w:rPr>
                <w:rFonts w:ascii="仿宋_GB2312" w:hAnsi="仿宋_GB2312" w:cs="仿宋_GB2312" w:hint="eastAsia"/>
                <w:sz w:val="21"/>
                <w:szCs w:val="21"/>
              </w:rPr>
              <w:t>监察机构</w:t>
            </w:r>
          </w:p>
        </w:tc>
        <w:tc>
          <w:tcPr>
            <w:tcW w:w="3601" w:type="dxa"/>
            <w:vAlign w:val="center"/>
          </w:tcPr>
          <w:p w14:paraId="52102A27"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查处超期未检气瓶/只</w:t>
            </w:r>
          </w:p>
        </w:tc>
        <w:tc>
          <w:tcPr>
            <w:tcW w:w="2418" w:type="dxa"/>
          </w:tcPr>
          <w:p w14:paraId="512E0BC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E85F966"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24BDBBC9"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1DD9E012" w14:textId="77777777" w:rsidR="00CA649D" w:rsidRDefault="00CA649D">
            <w:pPr>
              <w:overflowPunct/>
              <w:topLinePunct w:val="0"/>
              <w:spacing w:line="560" w:lineRule="exact"/>
              <w:rPr>
                <w:rFonts w:ascii="仿宋_GB2312" w:hAnsi="仿宋_GB2312" w:cs="仿宋_GB2312"/>
                <w:sz w:val="21"/>
                <w:szCs w:val="21"/>
              </w:rPr>
            </w:pPr>
          </w:p>
        </w:tc>
      </w:tr>
      <w:tr w:rsidR="00CA649D" w14:paraId="695819A7" w14:textId="77777777">
        <w:trPr>
          <w:trHeight w:val="340"/>
          <w:jc w:val="center"/>
        </w:trPr>
        <w:tc>
          <w:tcPr>
            <w:tcW w:w="629" w:type="dxa"/>
            <w:vAlign w:val="center"/>
          </w:tcPr>
          <w:p w14:paraId="22A1FFFB"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19</w:t>
            </w:r>
          </w:p>
        </w:tc>
        <w:tc>
          <w:tcPr>
            <w:tcW w:w="1096" w:type="dxa"/>
            <w:vMerge/>
          </w:tcPr>
          <w:p w14:paraId="3BE60DCF"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03AC9EF0"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查处翻新“黑气瓶”报废气瓶/只</w:t>
            </w:r>
          </w:p>
        </w:tc>
        <w:tc>
          <w:tcPr>
            <w:tcW w:w="2418" w:type="dxa"/>
          </w:tcPr>
          <w:p w14:paraId="1059FD69"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675B5CAA"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6FED673"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6975DACF" w14:textId="77777777" w:rsidR="00CA649D" w:rsidRDefault="00CA649D">
            <w:pPr>
              <w:overflowPunct/>
              <w:topLinePunct w:val="0"/>
              <w:spacing w:line="560" w:lineRule="exact"/>
              <w:rPr>
                <w:rFonts w:ascii="仿宋_GB2312" w:hAnsi="仿宋_GB2312" w:cs="仿宋_GB2312"/>
                <w:sz w:val="21"/>
                <w:szCs w:val="21"/>
              </w:rPr>
            </w:pPr>
          </w:p>
        </w:tc>
      </w:tr>
      <w:tr w:rsidR="00CA649D" w14:paraId="058754B8" w14:textId="77777777">
        <w:trPr>
          <w:trHeight w:val="340"/>
          <w:jc w:val="center"/>
        </w:trPr>
        <w:tc>
          <w:tcPr>
            <w:tcW w:w="629" w:type="dxa"/>
            <w:vAlign w:val="center"/>
          </w:tcPr>
          <w:p w14:paraId="73DD0F6E"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20</w:t>
            </w:r>
          </w:p>
        </w:tc>
        <w:tc>
          <w:tcPr>
            <w:tcW w:w="1096" w:type="dxa"/>
            <w:vMerge/>
          </w:tcPr>
          <w:p w14:paraId="02A5E128"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30BB681D"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取缔非法燃气气瓶充装单位</w:t>
            </w:r>
            <w:r>
              <w:rPr>
                <w:rFonts w:ascii="仿宋_GB2312" w:hAnsi="仿宋_GB2312" w:cs="仿宋_GB2312" w:hint="eastAsia"/>
                <w:color w:val="000000"/>
                <w:sz w:val="21"/>
                <w:szCs w:val="21"/>
              </w:rPr>
              <w:t>/家</w:t>
            </w:r>
          </w:p>
        </w:tc>
        <w:tc>
          <w:tcPr>
            <w:tcW w:w="2418" w:type="dxa"/>
          </w:tcPr>
          <w:p w14:paraId="2095FD4D"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5233882"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233B9C49"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40E753D1" w14:textId="77777777" w:rsidR="00CA649D" w:rsidRDefault="00CA649D">
            <w:pPr>
              <w:overflowPunct/>
              <w:topLinePunct w:val="0"/>
              <w:spacing w:line="560" w:lineRule="exact"/>
              <w:rPr>
                <w:rFonts w:ascii="仿宋_GB2312" w:hAnsi="仿宋_GB2312" w:cs="仿宋_GB2312"/>
                <w:sz w:val="21"/>
                <w:szCs w:val="21"/>
              </w:rPr>
            </w:pPr>
          </w:p>
        </w:tc>
      </w:tr>
      <w:tr w:rsidR="00CA649D" w14:paraId="118E8870" w14:textId="77777777">
        <w:trPr>
          <w:trHeight w:val="340"/>
          <w:jc w:val="center"/>
        </w:trPr>
        <w:tc>
          <w:tcPr>
            <w:tcW w:w="629" w:type="dxa"/>
            <w:vAlign w:val="center"/>
          </w:tcPr>
          <w:p w14:paraId="33C9B783"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21</w:t>
            </w:r>
          </w:p>
        </w:tc>
        <w:tc>
          <w:tcPr>
            <w:tcW w:w="1096" w:type="dxa"/>
            <w:vMerge/>
          </w:tcPr>
          <w:p w14:paraId="5C91FDEC"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67C71EB3"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吊销燃气气瓶充装单位许可</w:t>
            </w:r>
            <w:r>
              <w:rPr>
                <w:rFonts w:ascii="仿宋_GB2312" w:hAnsi="仿宋_GB2312" w:cs="仿宋_GB2312" w:hint="eastAsia"/>
                <w:color w:val="000000"/>
                <w:sz w:val="21"/>
                <w:szCs w:val="21"/>
              </w:rPr>
              <w:t>/家</w:t>
            </w:r>
          </w:p>
        </w:tc>
        <w:tc>
          <w:tcPr>
            <w:tcW w:w="2418" w:type="dxa"/>
          </w:tcPr>
          <w:p w14:paraId="5CF19C4E"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3C065007"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5938E167"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762C037B" w14:textId="77777777" w:rsidR="00CA649D" w:rsidRDefault="00CA649D">
            <w:pPr>
              <w:overflowPunct/>
              <w:topLinePunct w:val="0"/>
              <w:spacing w:line="560" w:lineRule="exact"/>
              <w:rPr>
                <w:rFonts w:ascii="仿宋_GB2312" w:hAnsi="仿宋_GB2312" w:cs="仿宋_GB2312"/>
                <w:sz w:val="21"/>
                <w:szCs w:val="21"/>
              </w:rPr>
            </w:pPr>
          </w:p>
        </w:tc>
      </w:tr>
      <w:tr w:rsidR="00CA649D" w14:paraId="49F5B23C" w14:textId="77777777">
        <w:trPr>
          <w:trHeight w:val="340"/>
          <w:jc w:val="center"/>
        </w:trPr>
        <w:tc>
          <w:tcPr>
            <w:tcW w:w="629" w:type="dxa"/>
            <w:vAlign w:val="center"/>
          </w:tcPr>
          <w:p w14:paraId="2414E2D1" w14:textId="77777777" w:rsidR="00CA649D" w:rsidRDefault="00ED6D64">
            <w:pPr>
              <w:overflowPunct/>
              <w:topLinePunct w:val="0"/>
              <w:spacing w:line="560" w:lineRule="exact"/>
              <w:jc w:val="center"/>
              <w:rPr>
                <w:rFonts w:ascii="仿宋_GB2312" w:hAnsi="仿宋_GB2312" w:cs="仿宋_GB2312"/>
                <w:sz w:val="21"/>
                <w:szCs w:val="21"/>
              </w:rPr>
            </w:pPr>
            <w:r>
              <w:rPr>
                <w:rFonts w:ascii="仿宋_GB2312" w:hAnsi="仿宋_GB2312" w:cs="仿宋_GB2312" w:hint="eastAsia"/>
                <w:sz w:val="21"/>
                <w:szCs w:val="21"/>
              </w:rPr>
              <w:t>22</w:t>
            </w:r>
          </w:p>
        </w:tc>
        <w:tc>
          <w:tcPr>
            <w:tcW w:w="1096" w:type="dxa"/>
            <w:vMerge/>
          </w:tcPr>
          <w:p w14:paraId="504E3342" w14:textId="77777777" w:rsidR="00CA649D" w:rsidRDefault="00CA649D">
            <w:pPr>
              <w:overflowPunct/>
              <w:topLinePunct w:val="0"/>
              <w:spacing w:line="560" w:lineRule="exact"/>
              <w:rPr>
                <w:rFonts w:ascii="仿宋_GB2312" w:hAnsi="仿宋_GB2312" w:cs="仿宋_GB2312"/>
                <w:sz w:val="21"/>
                <w:szCs w:val="21"/>
              </w:rPr>
            </w:pPr>
          </w:p>
        </w:tc>
        <w:tc>
          <w:tcPr>
            <w:tcW w:w="3601" w:type="dxa"/>
            <w:vAlign w:val="center"/>
          </w:tcPr>
          <w:p w14:paraId="631141D1" w14:textId="77777777" w:rsidR="00CA649D" w:rsidRDefault="00ED6D64">
            <w:pPr>
              <w:topLinePunct w:val="0"/>
              <w:spacing w:line="480" w:lineRule="exact"/>
              <w:rPr>
                <w:rFonts w:ascii="仿宋_GB2312" w:hAnsi="仿宋_GB2312" w:cs="仿宋_GB2312"/>
                <w:bCs/>
                <w:sz w:val="21"/>
                <w:szCs w:val="21"/>
              </w:rPr>
            </w:pPr>
            <w:r>
              <w:rPr>
                <w:rFonts w:ascii="仿宋_GB2312" w:hAnsi="仿宋_GB2312" w:cs="仿宋_GB2312" w:hint="eastAsia"/>
                <w:bCs/>
                <w:sz w:val="21"/>
                <w:szCs w:val="21"/>
              </w:rPr>
              <w:t>吊销燃气气瓶检验机构核准</w:t>
            </w:r>
            <w:r>
              <w:rPr>
                <w:rFonts w:ascii="仿宋_GB2312" w:hAnsi="仿宋_GB2312" w:cs="仿宋_GB2312" w:hint="eastAsia"/>
                <w:color w:val="000000"/>
                <w:sz w:val="21"/>
                <w:szCs w:val="21"/>
              </w:rPr>
              <w:t>/家</w:t>
            </w:r>
          </w:p>
        </w:tc>
        <w:tc>
          <w:tcPr>
            <w:tcW w:w="2418" w:type="dxa"/>
          </w:tcPr>
          <w:p w14:paraId="2816DCC6"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10205659" w14:textId="77777777" w:rsidR="00CA649D" w:rsidRDefault="00CA649D">
            <w:pPr>
              <w:overflowPunct/>
              <w:topLinePunct w:val="0"/>
              <w:spacing w:line="560" w:lineRule="exact"/>
              <w:rPr>
                <w:rFonts w:ascii="仿宋_GB2312" w:hAnsi="仿宋_GB2312" w:cs="仿宋_GB2312"/>
                <w:sz w:val="21"/>
                <w:szCs w:val="21"/>
              </w:rPr>
            </w:pPr>
          </w:p>
        </w:tc>
        <w:tc>
          <w:tcPr>
            <w:tcW w:w="2268" w:type="dxa"/>
          </w:tcPr>
          <w:p w14:paraId="439D5392" w14:textId="77777777" w:rsidR="00CA649D" w:rsidRDefault="00CA649D">
            <w:pPr>
              <w:overflowPunct/>
              <w:topLinePunct w:val="0"/>
              <w:spacing w:line="560" w:lineRule="exact"/>
              <w:rPr>
                <w:rFonts w:ascii="仿宋_GB2312" w:hAnsi="仿宋_GB2312" w:cs="仿宋_GB2312"/>
                <w:sz w:val="21"/>
                <w:szCs w:val="21"/>
              </w:rPr>
            </w:pPr>
          </w:p>
        </w:tc>
        <w:tc>
          <w:tcPr>
            <w:tcW w:w="1354" w:type="dxa"/>
          </w:tcPr>
          <w:p w14:paraId="059BED92" w14:textId="77777777" w:rsidR="00CA649D" w:rsidRDefault="00CA649D">
            <w:pPr>
              <w:overflowPunct/>
              <w:topLinePunct w:val="0"/>
              <w:spacing w:line="560" w:lineRule="exact"/>
              <w:rPr>
                <w:rFonts w:ascii="仿宋_GB2312" w:hAnsi="仿宋_GB2312" w:cs="仿宋_GB2312"/>
                <w:sz w:val="21"/>
                <w:szCs w:val="21"/>
              </w:rPr>
            </w:pPr>
          </w:p>
        </w:tc>
      </w:tr>
    </w:tbl>
    <w:p w14:paraId="061FDF30" w14:textId="77777777" w:rsidR="00CA649D" w:rsidRDefault="00CA649D" w:rsidP="006E5AD4">
      <w:pPr>
        <w:pStyle w:val="BodyTextFirstIndent1"/>
        <w:ind w:firstLineChars="0" w:firstLine="0"/>
        <w:rPr>
          <w:rFonts w:hint="eastAsia"/>
        </w:rPr>
      </w:pPr>
    </w:p>
    <w:sectPr w:rsidR="00CA649D" w:rsidSect="006E5AD4">
      <w:pgSz w:w="16838" w:h="11906" w:orient="landscape"/>
      <w:pgMar w:top="1474" w:right="1984" w:bottom="1474" w:left="1644" w:header="851" w:footer="1191" w:gutter="0"/>
      <w:cols w:space="720"/>
      <w:docGrid w:type="linesAndChars" w:linePitch="600"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E8D8" w14:textId="77777777" w:rsidR="005E0019" w:rsidRDefault="005E0019">
      <w:r>
        <w:separator/>
      </w:r>
    </w:p>
  </w:endnote>
  <w:endnote w:type="continuationSeparator" w:id="0">
    <w:p w14:paraId="7F500812" w14:textId="77777777" w:rsidR="005E0019" w:rsidRDefault="005E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D179" w14:textId="77777777" w:rsidR="00CA649D" w:rsidRDefault="00ED6D64">
    <w:pPr>
      <w:pStyle w:val="a6"/>
      <w:ind w:firstLineChars="0" w:firstLine="0"/>
    </w:pPr>
    <w:r>
      <w:rPr>
        <w:rFonts w:eastAsia="宋体" w:cs="宋体" w:hint="eastAsia"/>
        <w:sz w:val="28"/>
        <w:szCs w:val="28"/>
      </w:rPr>
      <w:t xml:space="preserve">  — </w:t>
    </w:r>
    <w:r>
      <w:rPr>
        <w:rFonts w:eastAsia="宋体" w:cs="宋体" w:hint="eastAsia"/>
        <w:sz w:val="28"/>
        <w:szCs w:val="28"/>
      </w:rPr>
      <w:fldChar w:fldCharType="begin"/>
    </w:r>
    <w:r>
      <w:rPr>
        <w:rFonts w:eastAsia="宋体" w:cs="宋体" w:hint="eastAsia"/>
        <w:sz w:val="28"/>
        <w:szCs w:val="28"/>
      </w:rPr>
      <w:instrText xml:space="preserve"> PAGE \* MERGEFORMAT </w:instrText>
    </w:r>
    <w:r>
      <w:rPr>
        <w:rFonts w:eastAsia="宋体" w:cs="宋体" w:hint="eastAsia"/>
        <w:sz w:val="28"/>
        <w:szCs w:val="28"/>
      </w:rPr>
      <w:fldChar w:fldCharType="separate"/>
    </w:r>
    <w:r>
      <w:rPr>
        <w:rFonts w:eastAsia="宋体" w:cs="宋体" w:hint="eastAsia"/>
        <w:sz w:val="28"/>
        <w:szCs w:val="28"/>
      </w:rPr>
      <w:t>1</w:t>
    </w:r>
    <w:r>
      <w:rPr>
        <w:rFonts w:eastAsia="宋体" w:cs="宋体" w:hint="eastAsia"/>
        <w:sz w:val="28"/>
        <w:szCs w:val="28"/>
      </w:rPr>
      <w:fldChar w:fldCharType="end"/>
    </w:r>
    <w:r>
      <w:rPr>
        <w:rFonts w:eastAsia="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4A5B" w14:textId="77777777" w:rsidR="00CA649D" w:rsidRDefault="00ED6D64">
    <w:pPr>
      <w:wordWrap w:val="0"/>
      <w:jc w:val="right"/>
    </w:pPr>
    <w:r>
      <w:rPr>
        <w:noProof/>
      </w:rPr>
      <mc:AlternateContent>
        <mc:Choice Requires="wps">
          <w:drawing>
            <wp:anchor distT="0" distB="0" distL="114300" distR="114300" simplePos="0" relativeHeight="251660288" behindDoc="0" locked="0" layoutInCell="1" allowOverlap="1" wp14:anchorId="67563DA6" wp14:editId="7287EADC">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FB815" w14:textId="77777777" w:rsidR="00CA649D" w:rsidRDefault="00ED6D64">
                          <w:pPr>
                            <w:wordWrap w:val="0"/>
                            <w:jc w:val="right"/>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563DA6"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37FB815" w14:textId="77777777" w:rsidR="00CA649D" w:rsidRDefault="00ED6D64">
                    <w:pPr>
                      <w:wordWrap w:val="0"/>
                      <w:jc w:val="right"/>
                    </w:pPr>
                    <w:r>
                      <w:t xml:space="preserve">— </w:t>
                    </w:r>
                    <w:r>
                      <w:fldChar w:fldCharType="begin"/>
                    </w:r>
                    <w:r>
                      <w:instrText xml:space="preserve"> PAGE  \* MERGEFORMAT </w:instrText>
                    </w:r>
                    <w:r>
                      <w:fldChar w:fldCharType="separate"/>
                    </w:r>
                    <w:r>
                      <w:t>8</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7A1D" w14:textId="77777777" w:rsidR="00CA649D" w:rsidRDefault="00CA649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7025" w14:textId="77777777" w:rsidR="005E0019" w:rsidRDefault="005E0019">
      <w:r>
        <w:separator/>
      </w:r>
    </w:p>
  </w:footnote>
  <w:footnote w:type="continuationSeparator" w:id="0">
    <w:p w14:paraId="72E94791" w14:textId="77777777" w:rsidR="005E0019" w:rsidRDefault="005E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0B" w14:textId="77777777" w:rsidR="00CA649D" w:rsidRDefault="00CA649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32FD" w14:textId="77777777" w:rsidR="00CA649D" w:rsidRDefault="00CA649D">
    <w:pPr>
      <w:ind w:left="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79AF" w14:textId="77777777" w:rsidR="00CA649D" w:rsidRDefault="00CA649D">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E5106"/>
    <w:multiLevelType w:val="singleLevel"/>
    <w:tmpl w:val="EFFE5106"/>
    <w:lvl w:ilvl="0">
      <w:start w:val="1"/>
      <w:numFmt w:val="decimal"/>
      <w:suff w:val="nothing"/>
      <w:lvlText w:val="%1."/>
      <w:lvlJc w:val="left"/>
    </w:lvl>
  </w:abstractNum>
  <w:abstractNum w:abstractNumId="1" w15:restartNumberingAfterBreak="0">
    <w:nsid w:val="F5F7FDF5"/>
    <w:multiLevelType w:val="singleLevel"/>
    <w:tmpl w:val="F5F7FDF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39226F"/>
    <w:rsid w:val="002A5119"/>
    <w:rsid w:val="00590E5D"/>
    <w:rsid w:val="005E0019"/>
    <w:rsid w:val="006E5AD4"/>
    <w:rsid w:val="00CA649D"/>
    <w:rsid w:val="00ED6D64"/>
    <w:rsid w:val="6339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106E"/>
  <w15:docId w15:val="{84406C6C-B8DC-41A8-BD64-6AE98BB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1"/>
    <w:qFormat/>
    <w:pPr>
      <w:widowControl w:val="0"/>
      <w:overflowPunct w:val="0"/>
      <w:topLinePunct/>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1">
    <w:name w:val="Body Text First Indent1"/>
    <w:basedOn w:val="a3"/>
    <w:next w:val="a4"/>
    <w:uiPriority w:val="99"/>
    <w:qFormat/>
    <w:pPr>
      <w:ind w:firstLineChars="100" w:firstLine="420"/>
    </w:pPr>
    <w:rPr>
      <w:rFonts w:cs="Calibri"/>
      <w:szCs w:val="21"/>
    </w:rPr>
  </w:style>
  <w:style w:type="paragraph" w:styleId="a3">
    <w:name w:val="Body Text"/>
    <w:basedOn w:val="a"/>
    <w:next w:val="a5"/>
    <w:qFormat/>
    <w:pPr>
      <w:overflowPunct/>
      <w:topLinePunct w:val="0"/>
      <w:spacing w:after="120"/>
      <w:ind w:firstLineChars="200" w:firstLine="200"/>
    </w:pPr>
    <w:rPr>
      <w:rFonts w:ascii="Calibri" w:eastAsia="宋体" w:hAnsi="Calibri"/>
      <w:color w:val="000000"/>
      <w:sz w:val="21"/>
      <w:szCs w:val="24"/>
    </w:rPr>
  </w:style>
  <w:style w:type="paragraph" w:styleId="a5">
    <w:name w:val="Body Text First Indent"/>
    <w:basedOn w:val="a3"/>
    <w:next w:val="a3"/>
    <w:qFormat/>
    <w:pPr>
      <w:ind w:firstLine="720"/>
    </w:p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qFormat/>
    <w:pPr>
      <w:tabs>
        <w:tab w:val="center" w:pos="4153"/>
        <w:tab w:val="right" w:pos="8306"/>
      </w:tabs>
      <w:overflowPunct/>
      <w:topLinePunct w:val="0"/>
      <w:snapToGrid w:val="0"/>
      <w:ind w:firstLineChars="200" w:firstLine="200"/>
      <w:jc w:val="left"/>
    </w:pPr>
    <w:rPr>
      <w:rFonts w:ascii="宋体" w:hAnsi="宋体"/>
      <w:color w:val="000000"/>
      <w:kern w:val="0"/>
      <w:sz w:val="18"/>
      <w:szCs w:val="18"/>
    </w:rPr>
  </w:style>
  <w:style w:type="paragraph" w:styleId="a7">
    <w:name w:val="Normal (Web)"/>
    <w:basedOn w:val="a"/>
    <w:qFormat/>
    <w:pPr>
      <w:overflowPunct/>
      <w:topLinePunct w:val="0"/>
      <w:spacing w:before="100" w:beforeAutospacing="1" w:after="100" w:afterAutospacing="1"/>
      <w:ind w:firstLineChars="200" w:firstLine="200"/>
      <w:jc w:val="left"/>
    </w:pPr>
    <w:rPr>
      <w:rFonts w:ascii="宋体" w:hAnsi="宋体"/>
      <w:color w:val="000000"/>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王唯安</dc:creator>
  <cp:lastModifiedBy>Thinkpad</cp:lastModifiedBy>
  <cp:revision>4</cp:revision>
  <dcterms:created xsi:type="dcterms:W3CDTF">2022-02-21T08:50:00Z</dcterms:created>
  <dcterms:modified xsi:type="dcterms:W3CDTF">2022-02-21T08:54:00Z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