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textAlignment w:val="center"/>
        <w:rPr>
          <w:rFonts w:hint="eastAsia" w:ascii="CESI黑体-GB2312" w:hAnsi="CESI黑体-GB2312" w:eastAsia="CESI黑体-GB2312" w:cs="CESI黑体-GB2312"/>
          <w:kern w:val="0"/>
          <w:sz w:val="32"/>
          <w:szCs w:val="32"/>
          <w:lang w:bidi="ar"/>
        </w:rPr>
      </w:pPr>
      <w:r>
        <w:rPr>
          <w:rFonts w:hint="eastAsia" w:ascii="CESI黑体-GB2312" w:hAnsi="CESI黑体-GB2312" w:eastAsia="CESI黑体-GB2312" w:cs="CESI黑体-GB2312"/>
          <w:kern w:val="0"/>
          <w:sz w:val="32"/>
          <w:szCs w:val="32"/>
          <w:lang w:bidi="ar"/>
        </w:rPr>
        <w:t>附件2</w:t>
      </w:r>
    </w:p>
    <w:p>
      <w:pPr>
        <w:pStyle w:val="2"/>
        <w:spacing w:after="0" w:line="520" w:lineRule="exact"/>
        <w:ind w:left="0" w:leftChars="0" w:firstLine="0" w:firstLineChars="0"/>
        <w:rPr>
          <w:rFonts w:hint="eastAsia"/>
          <w:lang w:bidi="ar"/>
        </w:rPr>
      </w:pPr>
    </w:p>
    <w:p>
      <w:pPr>
        <w:spacing w:line="640" w:lineRule="exact"/>
        <w:jc w:val="center"/>
        <w:rPr>
          <w:rFonts w:hint="eastAsia" w:ascii="方正小标宋_GBK" w:hAnsi="方正小标宋简体" w:eastAsia="方正小标宋_GBK" w:cs="方正小标宋简体"/>
          <w:kern w:val="0"/>
          <w:sz w:val="44"/>
          <w:szCs w:val="44"/>
        </w:rPr>
      </w:pPr>
      <w:bookmarkStart w:id="0" w:name="_GoBack"/>
      <w:r>
        <w:rPr>
          <w:rFonts w:hint="eastAsia" w:ascii="方正小标宋_GBK" w:hAnsi="方正小标宋简体" w:eastAsia="方正小标宋_GBK" w:cs="方正小标宋简体"/>
          <w:kern w:val="0"/>
          <w:sz w:val="44"/>
          <w:szCs w:val="44"/>
        </w:rPr>
        <w:t>平罗县2023年农村人居环境整治提升</w:t>
      </w:r>
    </w:p>
    <w:p>
      <w:pPr>
        <w:spacing w:line="640" w:lineRule="exact"/>
        <w:jc w:val="center"/>
        <w:rPr>
          <w:rFonts w:hint="eastAsia" w:ascii="方正小标宋_GBK" w:hAnsi="方正小标宋简体" w:eastAsia="方正小标宋_GBK" w:cs="方正小标宋简体"/>
          <w:kern w:val="0"/>
          <w:sz w:val="44"/>
          <w:szCs w:val="44"/>
        </w:rPr>
      </w:pPr>
      <w:r>
        <w:rPr>
          <w:rFonts w:hint="eastAsia" w:ascii="方正小标宋_GBK" w:hAnsi="方正小标宋简体" w:eastAsia="方正小标宋_GBK" w:cs="方正小标宋简体"/>
          <w:kern w:val="0"/>
          <w:sz w:val="44"/>
          <w:szCs w:val="44"/>
        </w:rPr>
        <w:t>季度考核办法</w:t>
      </w:r>
    </w:p>
    <w:bookmarkEnd w:id="0"/>
    <w:p>
      <w:pPr>
        <w:autoSpaceDE w:val="0"/>
        <w:spacing w:line="560" w:lineRule="exact"/>
        <w:rPr>
          <w:rFonts w:ascii="Times New Roman" w:hAnsi="Times New Roman" w:eastAsia="方正仿宋_GBK"/>
          <w:sz w:val="32"/>
          <w:szCs w:val="32"/>
        </w:rPr>
      </w:pPr>
      <w:r>
        <w:rPr>
          <w:rFonts w:ascii="Times New Roman" w:hAnsi="Times New Roman" w:eastAsia="仿宋_GB2312"/>
          <w:sz w:val="32"/>
          <w:szCs w:val="32"/>
        </w:rPr>
        <w:t xml:space="preserve"> </w:t>
      </w:r>
    </w:p>
    <w:p>
      <w:pPr>
        <w:autoSpaceDE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为推动全县农村人居环境整治工作扎实开展，改善提升农村人居环境水平，建设宜居宜业和美乡村，根据《平罗县2023年农村人居环境整治提升工作实施方案》，结合我县实际，制定本考核办法。</w:t>
      </w:r>
    </w:p>
    <w:p>
      <w:pPr>
        <w:pStyle w:val="7"/>
        <w:keepNext w:val="0"/>
        <w:keepLines w:val="0"/>
        <w:spacing w:line="560" w:lineRule="exact"/>
        <w:rPr>
          <w:rFonts w:hint="eastAsia" w:ascii="方正黑体_GBK" w:hAnsi="Times New Roman" w:eastAsia="方正黑体_GBK"/>
          <w:szCs w:val="32"/>
        </w:rPr>
      </w:pPr>
      <w:r>
        <w:rPr>
          <w:rFonts w:hint="eastAsia" w:ascii="方正黑体_GBK" w:hAnsi="Times New Roman" w:eastAsia="方正黑体_GBK"/>
          <w:szCs w:val="32"/>
        </w:rPr>
        <w:t>一、考核对象</w:t>
      </w:r>
    </w:p>
    <w:p>
      <w:pPr>
        <w:autoSpaceDE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各乡镇党委、政府。</w:t>
      </w:r>
    </w:p>
    <w:p>
      <w:pPr>
        <w:pStyle w:val="7"/>
        <w:keepNext w:val="0"/>
        <w:keepLines w:val="0"/>
        <w:spacing w:line="560" w:lineRule="exact"/>
        <w:rPr>
          <w:rFonts w:hint="eastAsia" w:ascii="方正黑体_GBK" w:hAnsi="Times New Roman" w:eastAsia="方正黑体_GBK"/>
          <w:szCs w:val="32"/>
        </w:rPr>
      </w:pPr>
      <w:r>
        <w:rPr>
          <w:rFonts w:hint="eastAsia" w:ascii="方正黑体_GBK" w:hAnsi="Times New Roman" w:eastAsia="方正黑体_GBK"/>
          <w:szCs w:val="32"/>
        </w:rPr>
        <w:t>二、考核原则</w:t>
      </w:r>
    </w:p>
    <w:p>
      <w:pPr>
        <w:autoSpaceDE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坚持实事求是、严谨公平、注重实绩、全面考核的原则。</w:t>
      </w:r>
    </w:p>
    <w:p>
      <w:pPr>
        <w:pStyle w:val="7"/>
        <w:keepNext w:val="0"/>
        <w:keepLines w:val="0"/>
        <w:spacing w:line="560" w:lineRule="exact"/>
        <w:rPr>
          <w:rFonts w:hint="eastAsia" w:ascii="方正黑体_GBK" w:hAnsi="Times New Roman" w:eastAsia="方正黑体_GBK"/>
          <w:szCs w:val="32"/>
        </w:rPr>
      </w:pPr>
      <w:r>
        <w:rPr>
          <w:rFonts w:hint="eastAsia" w:ascii="方正黑体_GBK" w:hAnsi="Times New Roman" w:eastAsia="方正黑体_GBK"/>
          <w:szCs w:val="32"/>
        </w:rPr>
        <w:t>三、考核内容</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1.农村垃圾治理效果明显。</w:t>
      </w:r>
      <w:r>
        <w:rPr>
          <w:rFonts w:ascii="Times New Roman" w:hAnsi="Times New Roman" w:eastAsia="方正仿宋_GBK"/>
          <w:sz w:val="32"/>
          <w:szCs w:val="32"/>
        </w:rPr>
        <w:t>辖区生活垃圾、建筑垃圾得到全面清理，无乱倾乱倒，无垃圾死角，垃圾分类逐步推开。</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2.农</w:t>
      </w:r>
      <w:r>
        <w:rPr>
          <w:rStyle w:val="13"/>
          <w:rFonts w:hint="eastAsia" w:ascii="方正仿宋_GBK" w:hAnsi="Times New Roman" w:eastAsia="方正仿宋_GBK"/>
          <w:szCs w:val="32"/>
        </w:rPr>
        <w:t>村“厕所革命”全面</w:t>
      </w:r>
      <w:r>
        <w:rPr>
          <w:rStyle w:val="13"/>
          <w:rFonts w:ascii="Times New Roman" w:hAnsi="Times New Roman" w:eastAsia="方正仿宋_GBK"/>
          <w:szCs w:val="32"/>
        </w:rPr>
        <w:t>推进。</w:t>
      </w:r>
      <w:r>
        <w:rPr>
          <w:rFonts w:ascii="Times New Roman" w:hAnsi="Times New Roman" w:eastAsia="方正仿宋_GBK"/>
          <w:sz w:val="32"/>
          <w:szCs w:val="32"/>
        </w:rPr>
        <w:t>农村改厕任务全面完成，农村常住户卫生厕所普及率达到91.5%以上；2013年以来各级财政补助建设农村户厕摸排出的立行立改的问题厕所全面整改完成，技术模式不合适需整改重建的2023年至2025年每年完成整改任务的三分之一；已改厕农户和已建成农村公厕全部正常使用，运行管护长效机制初步建立，以乡镇、行政村为单元建立农村厕所服务管护站。</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3.农村污水治理梯次推进。</w:t>
      </w:r>
      <w:r>
        <w:rPr>
          <w:rFonts w:ascii="Times New Roman" w:hAnsi="Times New Roman" w:eastAsia="方正仿宋_GBK"/>
          <w:sz w:val="32"/>
          <w:szCs w:val="32"/>
        </w:rPr>
        <w:t>全面落实河湖长制。农村生活污水处理设施全部正常投入运行，运行管理机制健全；污水乱排管控全面治理，农村黑臭水体全部消除。</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4.村容村貌明显提升。</w:t>
      </w:r>
      <w:r>
        <w:rPr>
          <w:rFonts w:ascii="Times New Roman" w:hAnsi="Times New Roman" w:eastAsia="方正仿宋_GBK"/>
          <w:sz w:val="32"/>
          <w:szCs w:val="32"/>
        </w:rPr>
        <w:t>农村废弃房屋、棚圈、残垣断壁全面清理拆除；村庄乱堆乱放、乱搭乱建、乱扔乱倒、乱挂乱贴现象治理有效；农村硬化、绿化、亮化、美化覆盖率显著提升；农户房前屋后和庭院干净整洁。</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5.畜禽养殖污染有效治理。</w:t>
      </w:r>
      <w:r>
        <w:rPr>
          <w:rFonts w:ascii="Times New Roman" w:hAnsi="Times New Roman" w:eastAsia="方正仿宋_GBK"/>
          <w:sz w:val="32"/>
          <w:szCs w:val="32"/>
        </w:rPr>
        <w:t>畜禽养殖布局合理，畜禽粪污治理成效显著，无乱堆乱放的畜禽粪便、粪堆。</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6.农民主体作用发挥及长效机制建立。</w:t>
      </w:r>
      <w:r>
        <w:rPr>
          <w:rFonts w:ascii="Times New Roman" w:hAnsi="Times New Roman" w:eastAsia="方正仿宋_GBK"/>
          <w:sz w:val="32"/>
          <w:szCs w:val="32"/>
        </w:rPr>
        <w:t>建立“门前三包”制和网格化管理等长效管理制度；全面推广清洁积分制，将农户室内、院内、院外的环境卫生纳入农村人居环境整治范畴，按照约定规则进行评价形成积分，并给予相应精神鼓励或物质奖励，形成一套有效的激励约束机制，构建共建共治共享的农村人居环境治理格局。</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7.示范村组创建、爱国卫生运动、美丽庭院创建等活动开展。</w:t>
      </w:r>
      <w:r>
        <w:rPr>
          <w:rFonts w:ascii="Times New Roman" w:hAnsi="Times New Roman" w:eastAsia="方正仿宋_GBK"/>
          <w:sz w:val="32"/>
          <w:szCs w:val="32"/>
        </w:rPr>
        <w:t>开展爱国卫生运动宣传、爱国卫生日活动和美丽庭院创建活动，提高村民清洁卫生意识、改变不良生活习惯。</w:t>
      </w:r>
    </w:p>
    <w:p>
      <w:pPr>
        <w:pStyle w:val="7"/>
        <w:keepNext w:val="0"/>
        <w:keepLines w:val="0"/>
        <w:spacing w:line="560" w:lineRule="exact"/>
        <w:rPr>
          <w:rFonts w:hint="eastAsia" w:ascii="方正黑体_GBK" w:hAnsi="Times New Roman" w:eastAsia="方正黑体_GBK"/>
          <w:szCs w:val="32"/>
        </w:rPr>
      </w:pPr>
      <w:r>
        <w:rPr>
          <w:rFonts w:hint="eastAsia" w:ascii="方正黑体_GBK" w:hAnsi="Times New Roman" w:eastAsia="方正黑体_GBK"/>
          <w:szCs w:val="32"/>
        </w:rPr>
        <w:t>四、考核方式</w:t>
      </w:r>
    </w:p>
    <w:p>
      <w:pPr>
        <w:autoSpaceDE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考核由县改善农村人居环境整治领导小组办公室牵头，组织农业农村局、住建局、自然资源局、市生态环境局平罗分局、水务局、爱卫办、妇联共同组成考核组（共8人），考核组每季度末对13个乡镇各随机抽取1</w:t>
      </w:r>
      <w:r>
        <w:rPr>
          <w:rFonts w:hint="eastAsia" w:ascii="Times New Roman" w:hAnsi="Times New Roman" w:eastAsia="方正仿宋_GBK"/>
          <w:sz w:val="32"/>
          <w:szCs w:val="32"/>
        </w:rPr>
        <w:t>—</w:t>
      </w:r>
      <w:r>
        <w:rPr>
          <w:rFonts w:ascii="Times New Roman" w:hAnsi="Times New Roman" w:eastAsia="方正仿宋_GBK"/>
          <w:sz w:val="32"/>
          <w:szCs w:val="32"/>
        </w:rPr>
        <w:t>2个行政村进行实地查看考核，考核组成员根据查看情况进行实名制打分。</w:t>
      </w:r>
    </w:p>
    <w:p>
      <w:pPr>
        <w:pStyle w:val="7"/>
        <w:keepNext w:val="0"/>
        <w:keepLines w:val="0"/>
        <w:spacing w:line="560" w:lineRule="exact"/>
        <w:rPr>
          <w:rFonts w:hint="eastAsia" w:ascii="方正黑体_GBK" w:hAnsi="Times New Roman" w:eastAsia="方正黑体_GBK"/>
          <w:szCs w:val="32"/>
        </w:rPr>
      </w:pPr>
      <w:r>
        <w:rPr>
          <w:rFonts w:hint="eastAsia" w:ascii="方正黑体_GBK" w:hAnsi="Times New Roman" w:eastAsia="方正黑体_GBK"/>
          <w:szCs w:val="32"/>
        </w:rPr>
        <w:t>五、考核分值设置及打分方式</w:t>
      </w:r>
    </w:p>
    <w:p>
      <w:pPr>
        <w:autoSpaceDE w:val="0"/>
        <w:spacing w:line="560" w:lineRule="exact"/>
        <w:ind w:firstLine="643" w:firstLineChars="200"/>
        <w:rPr>
          <w:rFonts w:ascii="Times New Roman" w:hAnsi="Times New Roman" w:eastAsia="方正仿宋_GBK"/>
          <w:spacing w:val="-11"/>
          <w:sz w:val="32"/>
          <w:szCs w:val="32"/>
        </w:rPr>
      </w:pPr>
      <w:r>
        <w:rPr>
          <w:rStyle w:val="13"/>
          <w:rFonts w:ascii="Times New Roman" w:hAnsi="Times New Roman" w:eastAsia="方正仿宋_GBK"/>
          <w:szCs w:val="32"/>
        </w:rPr>
        <w:t>1.现场考核。</w:t>
      </w:r>
      <w:r>
        <w:rPr>
          <w:rFonts w:ascii="Times New Roman" w:hAnsi="Times New Roman" w:eastAsia="方正仿宋_GBK"/>
          <w:sz w:val="32"/>
          <w:szCs w:val="32"/>
        </w:rPr>
        <w:t>改善农村人居环境整治领导小组办公室在每季度末组织考核组对各乡镇随机抽取1</w:t>
      </w:r>
      <w:r>
        <w:rPr>
          <w:rFonts w:hint="eastAsia" w:ascii="Times New Roman" w:hAnsi="Times New Roman" w:eastAsia="方正仿宋_GBK"/>
          <w:sz w:val="32"/>
          <w:szCs w:val="32"/>
        </w:rPr>
        <w:t>—</w:t>
      </w:r>
      <w:r>
        <w:rPr>
          <w:rFonts w:ascii="Times New Roman" w:hAnsi="Times New Roman" w:eastAsia="方正仿宋_GBK"/>
          <w:sz w:val="32"/>
          <w:szCs w:val="32"/>
        </w:rPr>
        <w:t>2个行政村，每个行政村随机抽取2</w:t>
      </w:r>
      <w:r>
        <w:rPr>
          <w:rFonts w:hint="eastAsia" w:ascii="Times New Roman" w:hAnsi="Times New Roman" w:eastAsia="方正仿宋_GBK"/>
          <w:sz w:val="32"/>
          <w:szCs w:val="32"/>
        </w:rPr>
        <w:t>—</w:t>
      </w:r>
      <w:r>
        <w:rPr>
          <w:rFonts w:ascii="Times New Roman" w:hAnsi="Times New Roman" w:eastAsia="方正仿宋_GBK"/>
          <w:sz w:val="32"/>
          <w:szCs w:val="32"/>
        </w:rPr>
        <w:t>3个自然村进行现场考核（对已现场抽取考核过的村组，原则上不再重复抽取考核）。考核组现场查看结束后，考核组成员依据考核细则立即进行实名制打分（总分100分），每个考核人员考核</w:t>
      </w:r>
      <w:r>
        <w:rPr>
          <w:rFonts w:ascii="Times New Roman" w:hAnsi="Times New Roman" w:eastAsia="方正仿宋_GBK"/>
          <w:spacing w:val="-11"/>
          <w:sz w:val="32"/>
          <w:szCs w:val="32"/>
        </w:rPr>
        <w:t>打分结果须分三个以上等次。</w:t>
      </w:r>
    </w:p>
    <w:p>
      <w:pPr>
        <w:autoSpaceDE w:val="0"/>
        <w:spacing w:line="560" w:lineRule="exact"/>
        <w:ind w:firstLine="643" w:firstLineChars="200"/>
        <w:rPr>
          <w:rFonts w:ascii="Times New Roman" w:hAnsi="Times New Roman" w:eastAsia="方正仿宋_GBK"/>
          <w:sz w:val="32"/>
          <w:szCs w:val="32"/>
        </w:rPr>
      </w:pPr>
      <w:r>
        <w:rPr>
          <w:rStyle w:val="13"/>
          <w:rFonts w:ascii="Times New Roman" w:hAnsi="Times New Roman" w:eastAsia="方正仿宋_GBK"/>
          <w:szCs w:val="32"/>
        </w:rPr>
        <w:t>2.加减分因素。</w:t>
      </w:r>
      <w:r>
        <w:rPr>
          <w:rFonts w:ascii="Times New Roman" w:hAnsi="Times New Roman" w:eastAsia="方正仿宋_GBK"/>
          <w:sz w:val="32"/>
          <w:szCs w:val="32"/>
        </w:rPr>
        <w:t>加减分项由考核组根据各乡镇报送的加分项资料（媒体报道、简报、信息、经验典型等）或干部群众举报、媒体曝光、上级部门督查检查和县农村人居环境整治领导小组办公室暗访等进行评定并打分。</w:t>
      </w:r>
    </w:p>
    <w:p>
      <w:pPr>
        <w:pStyle w:val="7"/>
        <w:keepNext w:val="0"/>
        <w:keepLines w:val="0"/>
        <w:spacing w:line="560" w:lineRule="exact"/>
        <w:rPr>
          <w:rFonts w:hint="eastAsia" w:ascii="方正黑体_GBK" w:hAnsi="Times New Roman" w:eastAsia="方正黑体_GBK"/>
          <w:szCs w:val="32"/>
        </w:rPr>
      </w:pPr>
      <w:r>
        <w:rPr>
          <w:rFonts w:hint="eastAsia" w:ascii="方正黑体_GBK" w:hAnsi="Times New Roman" w:eastAsia="方正黑体_GBK"/>
          <w:szCs w:val="32"/>
        </w:rPr>
        <w:t>六、考核结果运用</w:t>
      </w:r>
    </w:p>
    <w:p>
      <w:pPr>
        <w:autoSpaceDE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1.将农村人居环境整治工作考核结果纳入对乡镇的年度效能目标考核，乡镇每次考核分值汇总即为该乡镇年度考核总分值，按比例计入年度效能目标考核。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2.严格考核奖惩，根据农村人居环境整治考核结果，县财政将以以奖代补的形式予以适当奖励。奖励资金主要用于农村残垣断壁清理、废旧房屋拆除等。</w:t>
      </w:r>
    </w:p>
    <w:p>
      <w:pPr>
        <w:autoSpaceDE w:val="0"/>
        <w:spacing w:line="56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3.对考核首次排名倒数第一的乡镇，在通报中予以点名批评；对连续2次排名倒数第一的乡镇，对乡镇分管人居环境的领导进行约谈；对连续3次排名倒数第一的乡镇，对乡镇党委书记、乡镇长进行约谈。</w:t>
      </w:r>
    </w:p>
    <w:p>
      <w:pPr>
        <w:pStyle w:val="2"/>
        <w:ind w:left="420" w:firstLine="640"/>
        <w:rPr>
          <w:rFonts w:hint="eastAsia"/>
        </w:rPr>
        <w:sectPr>
          <w:footerReference r:id="rId3" w:type="default"/>
          <w:pgSz w:w="11906" w:h="16838"/>
          <w:pgMar w:top="1928" w:right="1531" w:bottom="1588" w:left="1531" w:header="567" w:footer="1474" w:gutter="0"/>
          <w:cols w:space="720" w:num="1"/>
          <w:docGrid w:type="lines" w:linePitch="31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22</w:t>
    </w:r>
    <w:r>
      <w:rPr>
        <w:rStyle w:val="12"/>
        <w:rFonts w:ascii="宋体" w:hAnsi="宋体"/>
        <w:sz w:val="28"/>
        <w:szCs w:val="28"/>
      </w:rPr>
      <w:fldChar w:fldCharType="end"/>
    </w:r>
    <w:r>
      <w:rPr>
        <w:rStyle w:val="12"/>
        <w:rFonts w:hint="eastAsia" w:ascii="宋体" w:hAnsi="宋体"/>
        <w:sz w:val="28"/>
        <w:szCs w:val="28"/>
      </w:rPr>
      <w:t xml:space="preserve"> —</w:t>
    </w:r>
  </w:p>
  <w:p>
    <w:pPr>
      <w:pStyle w:val="9"/>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3CDD0EF7"/>
    <w:rsid w:val="3CDD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paragraph" w:styleId="7">
    <w:name w:val="heading 2"/>
    <w:basedOn w:val="1"/>
    <w:next w:val="1"/>
    <w:qFormat/>
    <w:uiPriority w:val="0"/>
    <w:pPr>
      <w:keepNext/>
      <w:keepLines/>
      <w:spacing w:line="600" w:lineRule="exact"/>
      <w:ind w:firstLine="640" w:firstLineChars="200"/>
      <w:outlineLvl w:val="1"/>
    </w:pPr>
    <w:rPr>
      <w:rFonts w:ascii="Arial" w:hAnsi="Arial" w:eastAsia="黑体"/>
      <w:sz w:val="32"/>
    </w:rPr>
  </w:style>
  <w:style w:type="paragraph" w:styleId="8">
    <w:name w:val="heading 3"/>
    <w:basedOn w:val="1"/>
    <w:next w:val="1"/>
    <w:link w:val="13"/>
    <w:qFormat/>
    <w:uiPriority w:val="0"/>
    <w:pPr>
      <w:keepNext/>
      <w:keepLines/>
      <w:spacing w:line="600" w:lineRule="exact"/>
      <w:ind w:firstLine="640" w:firstLineChars="200"/>
      <w:outlineLvl w:val="2"/>
    </w:pPr>
    <w:rPr>
      <w:rFonts w:eastAsia="楷体_GB2312"/>
      <w:b/>
      <w:sz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ind w:left="200" w:leftChars="200" w:firstLine="420"/>
    </w:pPr>
    <w:rPr>
      <w:rFonts w:ascii="Times New Roman" w:cs="Times New Roman"/>
    </w:rPr>
  </w:style>
  <w:style w:type="paragraph" w:styleId="3">
    <w:name w:val="Body Text Indent"/>
    <w:basedOn w:val="1"/>
    <w:next w:val="4"/>
    <w:qFormat/>
    <w:uiPriority w:val="99"/>
    <w:pPr>
      <w:ind w:firstLine="200" w:firstLineChars="200"/>
    </w:pPr>
    <w:rPr>
      <w:rFonts w:eastAsia="仿宋_GB2312"/>
      <w:sz w:val="32"/>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6"/>
    <w:unhideWhenUsed/>
    <w:qFormat/>
    <w:uiPriority w:val="99"/>
    <w:pPr>
      <w:jc w:val="left"/>
    </w:pPr>
    <w:rPr>
      <w:kern w:val="0"/>
      <w:sz w:val="24"/>
      <w:szCs w:val="24"/>
    </w:rPr>
  </w:style>
  <w:style w:type="paragraph" w:styleId="6">
    <w:name w:val="index 6"/>
    <w:basedOn w:val="1"/>
    <w:next w:val="1"/>
    <w:qFormat/>
    <w:uiPriority w:val="0"/>
    <w:pPr>
      <w:ind w:left="2100"/>
    </w:pPr>
  </w:style>
  <w:style w:type="paragraph" w:styleId="9">
    <w:name w:val="footer"/>
    <w:basedOn w:val="1"/>
    <w:next w:val="1"/>
    <w:qFormat/>
    <w:uiPriority w:val="0"/>
    <w:pPr>
      <w:tabs>
        <w:tab w:val="center" w:pos="4153"/>
        <w:tab w:val="right" w:pos="8306"/>
      </w:tabs>
      <w:snapToGrid w:val="0"/>
      <w:jc w:val="left"/>
    </w:pPr>
    <w:rPr>
      <w:sz w:val="18"/>
    </w:rPr>
  </w:style>
  <w:style w:type="character" w:styleId="12">
    <w:name w:val="page number"/>
    <w:basedOn w:val="11"/>
    <w:uiPriority w:val="0"/>
  </w:style>
  <w:style w:type="character" w:customStyle="1" w:styleId="13">
    <w:name w:val="标题 3 Char Char"/>
    <w:link w:val="8"/>
    <w:qFormat/>
    <w:uiPriority w:val="0"/>
    <w:rPr>
      <w:rFonts w:eastAsia="楷体_GB2312"/>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2023-05-22T03:36:00Z</dcterms:created>
  <dc:creator>糖果</dc:creator>
  <cp:lastModifiedBy>糖果</cp:lastModifiedBy>
  <dcterms:modified xsi:type="dcterms:W3CDTF">2023-05-22T03:38:16Z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EADD6C9B3F734132BEE85A78E62DC649_11</vt:lpwstr>
  </property>
</Properties>
</file>