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FZXiaoBiaoSong-B05S" w:hAnsi="FZXiaoBiaoSong-B05S" w:eastAsia="FZXiaoBiaoSong-B05S" w:cs="FZXiaoBiaoSong-B05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FZXiaoBiaoSong-B05S" w:hAnsi="FZXiaoBiaoSong-B05S" w:eastAsia="FZXiaoBiaoSong-B05S" w:cs="FZXiaoBiaoSong-B05S"/>
          <w:sz w:val="44"/>
          <w:szCs w:val="44"/>
          <w:lang w:eastAsia="zh-CN"/>
        </w:rPr>
      </w:pPr>
      <w:r>
        <w:rPr>
          <w:rFonts w:hint="eastAsia" w:ascii="FZXiaoBiaoSong-B05S" w:hAnsi="FZXiaoBiaoSong-B05S" w:eastAsia="FZXiaoBiaoSong-B05S" w:cs="FZXiaoBiaoSong-B05S"/>
          <w:sz w:val="44"/>
          <w:szCs w:val="44"/>
          <w:lang w:eastAsia="zh-CN"/>
        </w:rPr>
        <w:t>平罗县发展和改革局2023年行政执法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FZXiaoBiaoSong-B05S" w:hAnsi="FZXiaoBiaoSong-B05S" w:eastAsia="FZXiaoBiaoSong-B05S" w:cs="FZXiaoBiaoSong-B05S"/>
          <w:sz w:val="44"/>
          <w:szCs w:val="44"/>
          <w:lang w:eastAsia="zh-CN"/>
        </w:rPr>
      </w:pPr>
      <w:r>
        <w:rPr>
          <w:rFonts w:hint="eastAsia" w:ascii="FZXiaoBiaoSong-B05S" w:hAnsi="FZXiaoBiaoSong-B05S" w:eastAsia="FZXiaoBiaoSong-B05S" w:cs="FZXiaoBiaoSong-B05S"/>
          <w:sz w:val="44"/>
          <w:szCs w:val="44"/>
          <w:lang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FZXiaoBiaoSong-B05S" w:hAnsi="FZXiaoBiaoSong-B05S" w:eastAsia="FZXiaoBiaoSong-B05S" w:cs="FZXiaoBiaoSong-B05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FangSong" w:hAnsi="FangSong" w:eastAsia="FangSong" w:cs="FangSong"/>
          <w:sz w:val="32"/>
          <w:szCs w:val="32"/>
          <w:lang w:eastAsia="zh-CN"/>
        </w:rPr>
      </w:pPr>
      <w:r>
        <w:rPr>
          <w:rFonts w:hint="eastAsia" w:ascii="FangSong" w:hAnsi="FangSong" w:eastAsia="FangSong" w:cs="FangSong"/>
          <w:sz w:val="32"/>
          <w:szCs w:val="32"/>
          <w:lang w:eastAsia="zh-CN"/>
        </w:rPr>
        <w:t>为推动行政执法各项制度和有关要求落地落实落细，按照根据《关于做好平罗县2023年度行政执法有关工作的函》的相关要求，现将平罗县发展和改革局2023年度执法工作总结如下。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SimHei" w:hAnsi="SimHei" w:eastAsia="SimHei" w:cs="SimHei"/>
          <w:sz w:val="32"/>
          <w:szCs w:val="32"/>
          <w:lang w:eastAsia="zh-CN"/>
        </w:rPr>
      </w:pPr>
      <w:r>
        <w:rPr>
          <w:rFonts w:hint="eastAsia" w:ascii="SimHei" w:hAnsi="SimHei" w:eastAsia="SimHei" w:cs="SimHei"/>
          <w:sz w:val="32"/>
          <w:szCs w:val="32"/>
          <w:lang w:eastAsia="zh-CN"/>
        </w:rPr>
        <w:t>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（一）</w:t>
      </w:r>
      <w:r>
        <w:rPr>
          <w:rFonts w:hint="eastAsia" w:ascii="KaiTi" w:hAnsi="KaiTi" w:eastAsia="KaiTi" w:cs="KaiTi"/>
          <w:b/>
          <w:bCs/>
          <w:sz w:val="32"/>
          <w:szCs w:val="32"/>
        </w:rPr>
        <w:t>严格落实行政执法“三项制度”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FangSong" w:hAnsi="FangSong" w:eastAsia="FangSong" w:cs="FangSong"/>
          <w:sz w:val="32"/>
          <w:szCs w:val="32"/>
          <w:lang w:val="en-US" w:eastAsia="zh-CN"/>
        </w:rPr>
      </w:pPr>
      <w:r>
        <w:rPr>
          <w:rFonts w:hint="eastAsia" w:ascii="FangSong" w:hAnsi="FangSong" w:eastAsia="FangSong" w:cs="FangSong"/>
          <w:sz w:val="32"/>
          <w:szCs w:val="32"/>
          <w:lang w:eastAsia="zh-CN"/>
        </w:rPr>
        <w:t>我局将贯彻落实行政执法“三项制度”作为发改行政执法重点事项，形成了领导高度重视，法制机构牵头落实，执法科室严格执行的“三项制度”工作机制，有力规范行政执法行为和发改业务同部署同落实，深化行政执法公示制度、执法全过程记录制度、重大执法决定法制审核制度等三项制度的落实，有力规范行政执法行为，持续推进严格规范公正文明执法。2023年我局共计公示行政处罚警告</w:t>
      </w:r>
      <w:r>
        <w:rPr>
          <w:rFonts w:hint="eastAsia" w:ascii="FangSong" w:hAnsi="FangSong" w:eastAsia="FangSong" w:cs="FangSong"/>
          <w:sz w:val="32"/>
          <w:szCs w:val="32"/>
          <w:lang w:val="en-US" w:eastAsia="zh-CN"/>
        </w:rPr>
        <w:t>3</w:t>
      </w:r>
      <w:r>
        <w:rPr>
          <w:rFonts w:hint="eastAsia" w:ascii="FangSong" w:hAnsi="FangSong" w:eastAsia="FangSong" w:cs="FangSong"/>
          <w:sz w:val="32"/>
          <w:szCs w:val="32"/>
          <w:lang w:eastAsia="zh-CN"/>
        </w:rPr>
        <w:t>件，行政检查</w:t>
      </w:r>
      <w:r>
        <w:rPr>
          <w:rFonts w:hint="eastAsia" w:ascii="FangSong" w:hAnsi="FangSong" w:eastAsia="FangSong" w:cs="FangSong"/>
          <w:sz w:val="32"/>
          <w:szCs w:val="32"/>
          <w:lang w:val="en-US" w:eastAsia="zh-CN"/>
        </w:rPr>
        <w:t>94</w:t>
      </w:r>
      <w:r>
        <w:rPr>
          <w:rFonts w:hint="eastAsia" w:ascii="FangSong" w:hAnsi="FangSong" w:eastAsia="FangSong" w:cs="FangSong"/>
          <w:sz w:val="32"/>
          <w:szCs w:val="32"/>
          <w:lang w:eastAsia="zh-CN"/>
        </w:rPr>
        <w:t>件严格做到执法信息公开透明、执法行为全过程记录、重大执法决定法制审核全覆盖。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KaiTi" w:hAnsi="KaiTi" w:eastAsia="KaiTi" w:cs="KaiTi"/>
          <w:b/>
          <w:bCs/>
          <w:sz w:val="32"/>
          <w:szCs w:val="32"/>
        </w:rPr>
      </w:pPr>
      <w:r>
        <w:rPr>
          <w:rFonts w:hint="eastAsia" w:ascii="KaiTi" w:hAnsi="KaiTi" w:eastAsia="KaiTi" w:cs="KaiTi"/>
          <w:b/>
          <w:bCs/>
          <w:sz w:val="32"/>
          <w:szCs w:val="32"/>
          <w:lang w:eastAsia="zh-CN"/>
        </w:rPr>
        <w:t>（二）</w:t>
      </w:r>
      <w:r>
        <w:rPr>
          <w:rFonts w:hint="eastAsia" w:ascii="KaiTi" w:hAnsi="KaiTi" w:eastAsia="KaiTi" w:cs="KaiTi"/>
          <w:b/>
          <w:bCs/>
          <w:sz w:val="32"/>
          <w:szCs w:val="32"/>
        </w:rPr>
        <w:t>狠抓重点环节，落实制度建设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FangSong" w:hAnsi="FangSong" w:eastAsia="FangSong" w:cs="FangSong"/>
          <w:sz w:val="32"/>
          <w:szCs w:val="32"/>
          <w:lang w:val="en-US" w:eastAsia="zh-CN"/>
        </w:rPr>
      </w:pPr>
      <w:r>
        <w:rPr>
          <w:rFonts w:hint="eastAsia" w:ascii="FangSong" w:hAnsi="FangSong" w:eastAsia="FangSong" w:cs="FangSong"/>
          <w:b/>
          <w:bCs/>
          <w:sz w:val="32"/>
          <w:szCs w:val="32"/>
          <w:lang w:eastAsia="zh-CN"/>
        </w:rPr>
        <w:t>一是</w:t>
      </w:r>
      <w:r>
        <w:rPr>
          <w:rFonts w:hint="eastAsia" w:ascii="FangSong" w:hAnsi="FangSong" w:eastAsia="FangSong" w:cs="FangSong"/>
          <w:sz w:val="32"/>
          <w:szCs w:val="32"/>
          <w:lang w:eastAsia="zh-CN"/>
        </w:rPr>
        <w:t>严格落实行政执法人员持证上岗和资格管理制度，参考率、合格率均达100%，持证执法人员19人，并及时更新在政府门户网站进行公示。</w:t>
      </w:r>
      <w:r>
        <w:rPr>
          <w:rFonts w:hint="eastAsia" w:ascii="FangSong" w:hAnsi="FangSong" w:eastAsia="FangSong" w:cs="FangSong"/>
          <w:b/>
          <w:bCs/>
          <w:sz w:val="32"/>
          <w:szCs w:val="32"/>
          <w:lang w:eastAsia="zh-CN"/>
        </w:rPr>
        <w:t>二是</w:t>
      </w:r>
      <w:r>
        <w:rPr>
          <w:rFonts w:hint="eastAsia" w:ascii="FangSong" w:hAnsi="FangSong" w:eastAsia="FangSong" w:cs="FangSong"/>
          <w:sz w:val="32"/>
          <w:szCs w:val="32"/>
          <w:lang w:eastAsia="zh-CN"/>
        </w:rPr>
        <w:t>建立权力清单、责任清单和负面清单等“三张清单”，梳理行政许可、行政处罚等行政职权40项。</w:t>
      </w:r>
      <w:r>
        <w:rPr>
          <w:rFonts w:hint="eastAsia" w:ascii="FangSong" w:hAnsi="FangSong" w:eastAsia="FangSong" w:cs="FangSong"/>
          <w:b/>
          <w:bCs/>
          <w:sz w:val="32"/>
          <w:szCs w:val="32"/>
          <w:lang w:eastAsia="zh-CN"/>
        </w:rPr>
        <w:t>三是</w:t>
      </w:r>
      <w:r>
        <w:rPr>
          <w:rFonts w:hint="eastAsia" w:ascii="FangSong" w:hAnsi="FangSong" w:eastAsia="FangSong" w:cs="FangSong"/>
          <w:sz w:val="32"/>
          <w:szCs w:val="32"/>
          <w:lang w:eastAsia="zh-CN"/>
        </w:rPr>
        <w:t>持续打造法治化营商环境，全面落实自治区优化营商环境“31条”，实施加快融入和服务全国统一大市场行动举措“22条”，破除地方保护和市场分割。推进信用信息公开公示，归集“双公示”信息9000余条，强化信用在行政审批、资金奖补等领域联动应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KaiTi" w:hAnsi="KaiTi" w:eastAsia="KaiTi" w:cs="KaiTi"/>
          <w:b/>
          <w:bCs/>
          <w:spacing w:val="0"/>
          <w:sz w:val="32"/>
          <w:szCs w:val="32"/>
          <w:highlight w:val="none"/>
          <w:lang w:val="en-US" w:eastAsia="zh-CN"/>
        </w:rPr>
      </w:pPr>
      <w:r>
        <w:rPr>
          <w:rFonts w:hint="eastAsia" w:ascii="KaiTi" w:hAnsi="KaiTi" w:eastAsia="KaiTi" w:cs="KaiTi"/>
          <w:b/>
          <w:bCs/>
          <w:spacing w:val="0"/>
          <w:sz w:val="32"/>
          <w:szCs w:val="32"/>
          <w:highlight w:val="none"/>
          <w:lang w:val="en-US" w:eastAsia="zh-CN"/>
        </w:rPr>
        <w:t>（三）强化法律服务，完善法治建设程序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FangSong" w:hAnsi="FangSong" w:eastAsia="FangSong" w:cs="FangSong"/>
          <w:sz w:val="32"/>
          <w:szCs w:val="32"/>
          <w:lang w:eastAsia="zh-CN"/>
        </w:rPr>
      </w:pPr>
      <w:r>
        <w:rPr>
          <w:rFonts w:hint="eastAsia" w:ascii="FangSong" w:hAnsi="FangSong" w:eastAsia="FangSong" w:cs="FangSong"/>
          <w:b/>
          <w:bCs/>
          <w:sz w:val="32"/>
          <w:szCs w:val="32"/>
          <w:lang w:val="en-US" w:eastAsia="zh-CN"/>
        </w:rPr>
        <w:t>一是</w:t>
      </w:r>
      <w:r>
        <w:rPr>
          <w:rFonts w:hint="eastAsia" w:ascii="FangSong" w:hAnsi="FangSong" w:eastAsia="FangSong" w:cs="FangSong"/>
          <w:sz w:val="32"/>
          <w:szCs w:val="32"/>
          <w:lang w:val="en-US" w:eastAsia="zh-CN"/>
        </w:rPr>
        <w:t>结合发改工作实际，开展法律专题辅导讲座1次，结合大量案例和事实进行分析，并对现实生活中的真实法律案例进行深度剖析。</w:t>
      </w:r>
      <w:r>
        <w:rPr>
          <w:rFonts w:hint="eastAsia" w:ascii="FangSong" w:hAnsi="FangSong" w:eastAsia="FangSong" w:cs="FangSong"/>
          <w:b/>
          <w:bCs/>
          <w:sz w:val="32"/>
          <w:szCs w:val="32"/>
          <w:lang w:val="en-US" w:eastAsia="zh-CN"/>
        </w:rPr>
        <w:t>二是</w:t>
      </w:r>
      <w:r>
        <w:rPr>
          <w:rFonts w:hint="eastAsia" w:ascii="FangSong" w:hAnsi="FangSong" w:eastAsia="FangSong" w:cs="FangSong"/>
          <w:sz w:val="32"/>
          <w:szCs w:val="32"/>
          <w:lang w:val="en-US" w:eastAsia="zh-CN"/>
        </w:rPr>
        <w:t>加强行政执法队伍建设，及时摸排执法人员基本情况，加大执法人员素质提升工程，提升年内外出参观、交流学习力度，2023年新增执法人员6人。</w:t>
      </w:r>
      <w:r>
        <w:rPr>
          <w:rFonts w:hint="eastAsia" w:ascii="FangSong" w:hAnsi="FangSong" w:eastAsia="FangSong" w:cs="FangSong"/>
          <w:b/>
          <w:bCs/>
          <w:sz w:val="32"/>
          <w:szCs w:val="32"/>
          <w:lang w:val="en-US" w:eastAsia="zh-CN"/>
        </w:rPr>
        <w:t>三是</w:t>
      </w:r>
      <w:r>
        <w:rPr>
          <w:rFonts w:hint="eastAsia" w:ascii="FangSong" w:hAnsi="FangSong" w:eastAsia="FangSong" w:cs="FangSong"/>
          <w:sz w:val="32"/>
          <w:szCs w:val="32"/>
          <w:lang w:val="en-US" w:eastAsia="zh-CN"/>
        </w:rPr>
        <w:t>建立权力清单、责任清单和负面清单等“三张清单”推进政府职能转变的重要举措。2022年调整后共有行政职权40项，其中:行政许可4项，行政处罚23项，行政检查3项，行政确认1项，行政奖励1项，行政强制1项，行政裁决1项，其他类6项。</w:t>
      </w:r>
      <w:r>
        <w:rPr>
          <w:rFonts w:hint="eastAsia" w:ascii="FangSong" w:hAnsi="FangSong" w:eastAsia="FangSong" w:cs="FangSong"/>
          <w:b/>
          <w:bCs/>
          <w:sz w:val="32"/>
          <w:szCs w:val="32"/>
          <w:lang w:val="en-US" w:eastAsia="zh-CN"/>
        </w:rPr>
        <w:t>四是</w:t>
      </w:r>
      <w:r>
        <w:rPr>
          <w:rFonts w:hint="eastAsia" w:ascii="FangSong" w:hAnsi="FangSong" w:eastAsia="FangSong" w:cs="FangSong"/>
          <w:sz w:val="32"/>
          <w:szCs w:val="32"/>
          <w:lang w:val="en-US" w:eastAsia="zh-CN"/>
        </w:rPr>
        <w:t>坚持科学民主决策，落实重大行政决策程序，开展太西工业园工业污水处理费定价听证会、合法性审查、风险评估等调价程序，最大限度避免法律风险。</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Style w:val="5"/>
          <w:rFonts w:hint="eastAsia" w:ascii="KaiTi" w:hAnsi="KaiTi" w:eastAsia="KaiTi" w:cs="KaiTi"/>
          <w:i w:val="0"/>
          <w:iCs w:val="0"/>
          <w:caps w:val="0"/>
          <w:color w:val="000000"/>
          <w:spacing w:val="0"/>
          <w:sz w:val="32"/>
          <w:szCs w:val="32"/>
          <w:shd w:val="clear" w:color="auto" w:fill="FFFFFF"/>
        </w:rPr>
      </w:pPr>
      <w:r>
        <w:rPr>
          <w:rStyle w:val="5"/>
          <w:rFonts w:hint="eastAsia" w:ascii="KaiTi" w:hAnsi="KaiTi" w:eastAsia="KaiTi" w:cs="KaiTi"/>
          <w:i w:val="0"/>
          <w:iCs w:val="0"/>
          <w:caps w:val="0"/>
          <w:color w:val="000000"/>
          <w:spacing w:val="0"/>
          <w:sz w:val="32"/>
          <w:szCs w:val="32"/>
          <w:shd w:val="clear" w:color="auto" w:fill="FFFFFF"/>
          <w:lang w:eastAsia="zh-CN"/>
        </w:rPr>
        <w:t>（四）</w:t>
      </w:r>
      <w:r>
        <w:rPr>
          <w:rStyle w:val="5"/>
          <w:rFonts w:hint="eastAsia" w:ascii="KaiTi" w:hAnsi="KaiTi" w:eastAsia="KaiTi" w:cs="KaiTi"/>
          <w:i w:val="0"/>
          <w:iCs w:val="0"/>
          <w:caps w:val="0"/>
          <w:color w:val="000000"/>
          <w:spacing w:val="0"/>
          <w:sz w:val="32"/>
          <w:szCs w:val="32"/>
          <w:shd w:val="clear" w:color="auto" w:fill="FFFFFF"/>
        </w:rPr>
        <w:t>加强普法力度，切实开展工作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FangSong" w:hAnsi="FangSong" w:eastAsia="FangSong" w:cs="FangSong"/>
          <w:sz w:val="32"/>
          <w:szCs w:val="32"/>
          <w:lang w:val="en-US" w:eastAsia="zh-CN"/>
        </w:rPr>
      </w:pPr>
      <w:r>
        <w:rPr>
          <w:rFonts w:hint="eastAsia" w:ascii="FangSong" w:hAnsi="FangSong" w:eastAsia="FangSong" w:cs="FangSong"/>
          <w:b/>
          <w:bCs/>
          <w:sz w:val="32"/>
          <w:szCs w:val="32"/>
          <w:lang w:val="en-US" w:eastAsia="zh-CN"/>
        </w:rPr>
        <w:t>一是</w:t>
      </w:r>
      <w:r>
        <w:rPr>
          <w:rFonts w:hint="eastAsia" w:ascii="FangSong" w:hAnsi="FangSong" w:eastAsia="FangSong" w:cs="FangSong"/>
          <w:sz w:val="32"/>
          <w:szCs w:val="32"/>
          <w:lang w:val="en-US" w:eastAsia="zh-CN"/>
        </w:rPr>
        <w:t>加大安全生产检查力度。紧盯监管领域和重要时间节点，对县域内5家长输油气管道企业每月至少开展1次安全检查；聘请2名安全生产领域专家，对全县13家自备电厂开展集中安全检查1次，下达整改通知书12份，查出问题隐患56项，目前各项问题均已完成整改；对县域内重点监管涉粮企业开展行业安全储粮、安全生产检查共42次，累计检查企业49家，在检查中针对个别企业存在的安全隐患下发整改通知书32份，发现隐患问题158项，现整改率达到100%。</w:t>
      </w:r>
      <w:r>
        <w:rPr>
          <w:rFonts w:hint="eastAsia" w:ascii="FangSong" w:hAnsi="FangSong" w:eastAsia="FangSong" w:cs="FangSong"/>
          <w:b/>
          <w:bCs/>
          <w:sz w:val="32"/>
          <w:szCs w:val="32"/>
          <w:lang w:val="en-US" w:eastAsia="zh-CN"/>
        </w:rPr>
        <w:t>二是</w:t>
      </w:r>
      <w:r>
        <w:rPr>
          <w:rFonts w:hint="eastAsia" w:ascii="FangSong" w:hAnsi="FangSong" w:eastAsia="FangSong" w:cs="FangSong"/>
          <w:sz w:val="32"/>
          <w:szCs w:val="32"/>
          <w:lang w:val="en-US" w:eastAsia="zh-CN"/>
        </w:rPr>
        <w:t>完善安全生产管控联络体系，督促长输油气管道及电力企业明确安全生产联络人员，建立从石嘴山市到平罗县两级安全生产联络体系，进一步强化安全生产信息报送力度，推动企业加强安全隐患报送和整改工作执行能力建设。</w:t>
      </w:r>
      <w:r>
        <w:rPr>
          <w:rFonts w:hint="eastAsia" w:ascii="FangSong" w:hAnsi="FangSong" w:eastAsia="FangSong" w:cs="FangSong"/>
          <w:b/>
          <w:bCs/>
          <w:sz w:val="32"/>
          <w:szCs w:val="32"/>
          <w:lang w:val="en-US" w:eastAsia="zh-CN"/>
        </w:rPr>
        <w:t>三是</w:t>
      </w:r>
      <w:r>
        <w:rPr>
          <w:rFonts w:hint="eastAsia" w:ascii="FangSong" w:hAnsi="FangSong" w:eastAsia="FangSong" w:cs="FangSong"/>
          <w:sz w:val="32"/>
          <w:szCs w:val="32"/>
          <w:lang w:val="en-US" w:eastAsia="zh-CN"/>
        </w:rPr>
        <w:t>协调开展应急演练，督促乌海华油天然气有限公司开展油气长输管道事故应急演练，长庆、哈纳斯等其他企业参加；协调国网平罗供电公司、县工信局、水务局、气象局等部门开展大面积停电事件应急演练，提升全县应急保障能力和干部应急处突能力。</w:t>
      </w:r>
    </w:p>
    <w:p>
      <w:pPr>
        <w:pStyle w:val="6"/>
        <w:keepNext w:val="0"/>
        <w:keepLines w:val="0"/>
        <w:pageBreakBefore w:val="0"/>
        <w:widowControl w:val="0"/>
        <w:numPr>
          <w:ilvl w:val="0"/>
          <w:numId w:val="2"/>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KaiTi" w:hAnsi="KaiTi" w:eastAsia="KaiTi" w:cs="KaiTi"/>
          <w:b/>
          <w:bCs/>
          <w:color w:val="auto"/>
          <w:spacing w:val="0"/>
          <w:sz w:val="32"/>
          <w:szCs w:val="32"/>
          <w:lang w:val="en-US" w:eastAsia="zh-CN"/>
        </w:rPr>
      </w:pPr>
      <w:r>
        <w:rPr>
          <w:rFonts w:hint="eastAsia" w:ascii="KaiTi" w:hAnsi="KaiTi" w:eastAsia="KaiTi" w:cs="KaiTi"/>
          <w:b/>
          <w:bCs/>
          <w:i w:val="0"/>
          <w:caps w:val="0"/>
          <w:color w:val="auto"/>
          <w:spacing w:val="0"/>
          <w:sz w:val="32"/>
          <w:szCs w:val="32"/>
          <w:shd w:val="clear" w:color="auto" w:fill="FFFFFF"/>
          <w:lang w:val="en-US" w:eastAsia="zh-CN"/>
        </w:rPr>
        <w:t>扎实推进专项整治，</w:t>
      </w:r>
      <w:r>
        <w:rPr>
          <w:rFonts w:hint="eastAsia" w:ascii="KaiTi" w:hAnsi="KaiTi" w:eastAsia="KaiTi" w:cs="KaiTi"/>
          <w:b/>
          <w:bCs/>
          <w:color w:val="auto"/>
          <w:spacing w:val="0"/>
          <w:sz w:val="32"/>
          <w:szCs w:val="32"/>
          <w:lang w:val="en-US" w:eastAsia="zh-CN"/>
        </w:rPr>
        <w:t>严厉查处违法行为</w:t>
      </w:r>
    </w:p>
    <w:p>
      <w:pPr>
        <w:pStyle w:val="6"/>
        <w:keepNext w:val="0"/>
        <w:keepLines w:val="0"/>
        <w:pageBreakBefore w:val="0"/>
        <w:widowControl w:val="0"/>
        <w:numPr>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FangSong" w:hAnsi="FangSong" w:eastAsia="FangSong" w:cs="FangSong"/>
          <w:sz w:val="32"/>
          <w:szCs w:val="32"/>
          <w:lang w:val="en-US" w:eastAsia="zh-CN"/>
        </w:rPr>
      </w:pPr>
      <w:r>
        <w:rPr>
          <w:rFonts w:hint="eastAsia" w:ascii="FangSong" w:hAnsi="FangSong" w:eastAsia="FangSong" w:cs="FangSong"/>
          <w:b/>
          <w:bCs/>
          <w:sz w:val="32"/>
          <w:szCs w:val="32"/>
          <w:lang w:val="en-US" w:eastAsia="zh-CN"/>
        </w:rPr>
        <w:t>一是</w:t>
      </w:r>
      <w:r>
        <w:rPr>
          <w:rFonts w:hint="eastAsia" w:ascii="FangSong" w:hAnsi="FangSong" w:eastAsia="FangSong" w:cs="FangSong"/>
          <w:sz w:val="32"/>
          <w:szCs w:val="32"/>
          <w:lang w:val="en-US" w:eastAsia="zh-CN"/>
        </w:rPr>
        <w:t>印发实施《平罗县发改局关于开展重大事故隐患专项排查整治2023行动的通知》，指导管道企业及自备电厂按照《重大事故隐患汇编》建立隐患排查治理体系，督促企业建立重大事故隐患排查整治台账，按照2023行动要求开展自查，下沉企业开展安全检查，结合企业自查结果消弭重大事故隐患。</w:t>
      </w:r>
      <w:r>
        <w:rPr>
          <w:rFonts w:hint="eastAsia" w:ascii="FangSong" w:hAnsi="FangSong" w:eastAsia="FangSong" w:cs="FangSong"/>
          <w:b/>
          <w:bCs/>
          <w:sz w:val="32"/>
          <w:szCs w:val="32"/>
          <w:lang w:val="en-US" w:eastAsia="zh-CN"/>
        </w:rPr>
        <w:t>二是</w:t>
      </w:r>
      <w:r>
        <w:rPr>
          <w:rFonts w:hint="eastAsia" w:ascii="FangSong" w:hAnsi="FangSong" w:eastAsia="FangSong" w:cs="FangSong"/>
          <w:sz w:val="32"/>
          <w:szCs w:val="32"/>
          <w:lang w:val="en-US" w:eastAsia="zh-CN"/>
        </w:rPr>
        <w:t>充分吸取银川市兴庆区富洋烧烤“6·21”燃气爆炸事故教训，印发实施《县发改局重点行业监管领域安全生产风险隐患大排查大整治工作方案》，6月21日后每月对长输油气管道企业和自备电厂开展安全检查，对有问题隐患的企业下达整改通知书，督促企业严格按照整改时限完成各项问题整改。</w:t>
      </w:r>
      <w:r>
        <w:rPr>
          <w:rFonts w:hint="eastAsia" w:ascii="FangSong" w:hAnsi="FangSong" w:eastAsia="FangSong" w:cs="FangSong"/>
          <w:b/>
          <w:bCs/>
          <w:sz w:val="32"/>
          <w:szCs w:val="32"/>
          <w:lang w:val="en-US" w:eastAsia="zh-CN"/>
        </w:rPr>
        <w:t>三是</w:t>
      </w:r>
      <w:r>
        <w:rPr>
          <w:rFonts w:hint="eastAsia" w:ascii="FangSong" w:hAnsi="FangSong" w:eastAsia="FangSong" w:cs="FangSong"/>
          <w:sz w:val="32"/>
          <w:szCs w:val="32"/>
          <w:lang w:val="en-US" w:eastAsia="zh-CN"/>
        </w:rPr>
        <w:t>推动重大安全隐患问题整改，积极对接市发改委、国网宁夏超高压电力公司等部门，协调解决翰达实业、德渊、哈纳斯管道、通伏乡通城村农业大棚造成电力隐患等问题，目前所有隐患均已消除；督促油气长输管道开展老旧管道安全风险排查评估，对发现问题的管道进行更新维护。</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SimHei" w:hAnsi="SimHei" w:eastAsia="SimHei" w:cs="SimHei"/>
          <w:sz w:val="32"/>
          <w:szCs w:val="32"/>
          <w:lang w:val="en-US" w:eastAsia="zh-CN"/>
        </w:rPr>
      </w:pPr>
      <w:r>
        <w:rPr>
          <w:rFonts w:hint="eastAsia" w:ascii="SimHei" w:hAnsi="SimHei" w:eastAsia="SimHei" w:cs="SimHei"/>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FangSong" w:hAnsi="FangSong" w:eastAsia="FangSong" w:cs="FangSong"/>
          <w:sz w:val="32"/>
          <w:szCs w:val="32"/>
          <w:lang w:val="en-US" w:eastAsia="zh-CN"/>
        </w:rPr>
      </w:pPr>
      <w:r>
        <w:rPr>
          <w:rFonts w:hint="eastAsia" w:ascii="FangSong" w:hAnsi="FangSong" w:eastAsia="FangSong" w:cs="FangSong"/>
          <w:b/>
          <w:bCs/>
          <w:kern w:val="0"/>
          <w:sz w:val="32"/>
          <w:szCs w:val="32"/>
          <w:lang w:val="en-US" w:eastAsia="zh-CN" w:bidi="ar-SA"/>
        </w:rPr>
        <w:t>一是</w:t>
      </w:r>
      <w:r>
        <w:rPr>
          <w:rFonts w:hint="eastAsia" w:ascii="FangSong" w:hAnsi="FangSong" w:eastAsia="FangSong" w:cs="FangSong"/>
          <w:sz w:val="32"/>
          <w:szCs w:val="32"/>
          <w:lang w:val="en-US" w:eastAsia="zh-CN"/>
        </w:rPr>
        <w:t>理论学习不够系统，法治培训还有所欠缺，理论指导实践不够全面系统。</w:t>
      </w:r>
      <w:r>
        <w:rPr>
          <w:rFonts w:hint="eastAsia" w:ascii="FangSong" w:hAnsi="FangSong" w:eastAsia="FangSong" w:cs="FangSong"/>
          <w:b/>
          <w:bCs/>
          <w:kern w:val="0"/>
          <w:sz w:val="32"/>
          <w:szCs w:val="32"/>
          <w:lang w:val="en-US" w:eastAsia="zh-CN" w:bidi="ar-SA"/>
        </w:rPr>
        <w:t>二</w:t>
      </w:r>
      <w:r>
        <w:rPr>
          <w:rFonts w:hint="default" w:ascii="FangSong" w:hAnsi="FangSong" w:eastAsia="FangSong" w:cs="FangSong"/>
          <w:b/>
          <w:bCs/>
          <w:kern w:val="0"/>
          <w:sz w:val="32"/>
          <w:szCs w:val="32"/>
          <w:lang w:val="en-US" w:eastAsia="zh-CN" w:bidi="ar-SA"/>
        </w:rPr>
        <w:t>是</w:t>
      </w:r>
      <w:r>
        <w:rPr>
          <w:rFonts w:hint="default" w:ascii="FangSong" w:hAnsi="FangSong" w:eastAsia="FangSong" w:cs="FangSong"/>
          <w:sz w:val="32"/>
          <w:szCs w:val="32"/>
          <w:lang w:val="en-US" w:eastAsia="zh-CN"/>
        </w:rPr>
        <w:t>行政执法人员法律法规方面的教育培训还有待进一步加强，执法办案水平还有待进一步提高。</w:t>
      </w:r>
      <w:r>
        <w:rPr>
          <w:rFonts w:hint="default" w:ascii="FangSong" w:hAnsi="FangSong" w:eastAsia="FangSong" w:cs="FangSong"/>
          <w:b/>
          <w:bCs/>
          <w:kern w:val="0"/>
          <w:sz w:val="32"/>
          <w:szCs w:val="32"/>
          <w:lang w:val="en-US" w:eastAsia="zh-CN" w:bidi="ar-SA"/>
        </w:rPr>
        <w:t>三是</w:t>
      </w:r>
      <w:r>
        <w:rPr>
          <w:rFonts w:hint="default" w:ascii="FangSong" w:hAnsi="FangSong" w:eastAsia="FangSong" w:cs="FangSong"/>
          <w:sz w:val="32"/>
          <w:szCs w:val="32"/>
          <w:lang w:val="en-US" w:eastAsia="zh-CN"/>
        </w:rPr>
        <w:t>执法队伍建设不够完善，法学背景相关专业人员不足。</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SimHei" w:hAnsi="SimHei" w:eastAsia="SimHei" w:cs="SimHei"/>
          <w:spacing w:val="0"/>
          <w:kern w:val="2"/>
          <w:sz w:val="32"/>
          <w:szCs w:val="32"/>
          <w:lang w:val="en-US" w:eastAsia="zh-CN" w:bidi="ar-SA"/>
        </w:rPr>
      </w:pPr>
      <w:r>
        <w:rPr>
          <w:rFonts w:hint="eastAsia" w:ascii="SimHei" w:hAnsi="SimHei" w:eastAsia="SimHei" w:cs="SimHei"/>
          <w:spacing w:val="0"/>
          <w:kern w:val="2"/>
          <w:sz w:val="32"/>
          <w:szCs w:val="32"/>
          <w:lang w:val="en-US" w:eastAsia="zh-CN" w:bidi="ar-SA"/>
        </w:rPr>
        <w:t>三、下一步工作计划</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FangSong" w:hAnsi="FangSong" w:eastAsia="FangSong" w:cs="FangSong"/>
          <w:kern w:val="2"/>
          <w:sz w:val="32"/>
          <w:szCs w:val="32"/>
          <w:lang w:val="en-US" w:eastAsia="zh-CN" w:bidi="ar-SA"/>
        </w:rPr>
      </w:pPr>
      <w:r>
        <w:rPr>
          <w:rFonts w:hint="eastAsia" w:ascii="KaiTi" w:hAnsi="KaiTi" w:eastAsia="KaiTi" w:cs="KaiTi"/>
          <w:b/>
          <w:bCs/>
          <w:spacing w:val="0"/>
          <w:kern w:val="2"/>
          <w:sz w:val="32"/>
          <w:szCs w:val="32"/>
          <w:lang w:val="en-US" w:eastAsia="zh-CN" w:bidi="ar-SA"/>
        </w:rPr>
        <w:t>（一）强化理论学习，筑牢法治思维。</w:t>
      </w:r>
      <w:r>
        <w:rPr>
          <w:rFonts w:hint="eastAsia" w:ascii="FangSong" w:hAnsi="FangSong" w:eastAsia="FangSong" w:cs="FangSong"/>
          <w:kern w:val="2"/>
          <w:sz w:val="32"/>
          <w:szCs w:val="32"/>
          <w:lang w:val="en-US" w:eastAsia="zh-CN" w:bidi="ar-SA"/>
        </w:rPr>
        <w:t>认真贯彻落实《自治区提升行政执法质量三年行动实施方案(2023—2025年)》(宁政办发〔2023〕46号),按照全国行政执法人员培训标准化体系建设要求,将执法人员培训学习纳入常态化管理,学习公共法律知识、业务知识和行政执法技能培训,并注重加强执法行为规范和职业道德教育,理论讲解和案例分析并行,使执法人员牢固树立执法为民意识,转变执法理念,坚持严格规范公正文明执法,不断提高执法队伍综合素质和业务能力。</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FangSong" w:hAnsi="FangSong" w:eastAsia="FangSong" w:cs="FangSong"/>
          <w:kern w:val="2"/>
          <w:sz w:val="32"/>
          <w:szCs w:val="32"/>
          <w:lang w:val="en-US" w:eastAsia="zh-CN" w:bidi="ar-SA"/>
        </w:rPr>
      </w:pPr>
      <w:r>
        <w:rPr>
          <w:rFonts w:hint="eastAsia" w:ascii="KaiTi" w:hAnsi="KaiTi" w:eastAsia="KaiTi" w:cs="KaiTi"/>
          <w:b/>
          <w:bCs/>
          <w:spacing w:val="0"/>
          <w:kern w:val="2"/>
          <w:sz w:val="32"/>
          <w:szCs w:val="32"/>
          <w:lang w:val="en-US" w:eastAsia="zh-CN" w:bidi="ar-SA"/>
        </w:rPr>
        <w:t>（二）提升执法人员能力。</w:t>
      </w:r>
      <w:r>
        <w:rPr>
          <w:rFonts w:hint="eastAsia" w:ascii="FangSong" w:hAnsi="FangSong" w:eastAsia="FangSong" w:cs="FangSong"/>
          <w:kern w:val="2"/>
          <w:sz w:val="32"/>
          <w:szCs w:val="32"/>
          <w:lang w:val="en-US" w:eastAsia="zh-CN" w:bidi="ar-SA"/>
        </w:rPr>
        <w:t>每年积极组织法治骨干、行政执法人员参加法律知识培训，有针对性地解决法治队伍建设中存在的突出问题和薄弱环节，努力提高领导干部和行政机关工作人员运用法治思维和法治方式开展工作的能力。组织行政执法人员积极参与行政执法年度学习和考核，开展行政执法专题学法活动，杜绝执法不严、引用条款不当和不文明执法等问题的发生。做好重大行政决相关策工作，制定2024年重大行政决策事项目录，按照相关文件及法治政府建设考核具体要求，发挥法律顾问的作用，确保重大行政决策各项程序合法、合规。</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FangSong" w:hAnsi="FangSong" w:eastAsia="FangSong" w:cs="FangSong"/>
          <w:kern w:val="2"/>
          <w:sz w:val="32"/>
          <w:szCs w:val="32"/>
          <w:lang w:val="en-US" w:eastAsia="zh-CN" w:bidi="ar-SA"/>
        </w:rPr>
      </w:pPr>
      <w:r>
        <w:rPr>
          <w:rFonts w:hint="eastAsia" w:ascii="KaiTi" w:hAnsi="KaiTi" w:eastAsia="KaiTi" w:cs="KaiTi"/>
          <w:b/>
          <w:bCs/>
          <w:spacing w:val="0"/>
          <w:kern w:val="2"/>
          <w:sz w:val="32"/>
          <w:szCs w:val="32"/>
          <w:lang w:val="en-US" w:eastAsia="zh-CN" w:bidi="ar-SA"/>
        </w:rPr>
        <w:t>（三）严格规范执法程序。</w:t>
      </w:r>
      <w:r>
        <w:rPr>
          <w:rFonts w:hint="eastAsia" w:ascii="FangSong" w:hAnsi="FangSong" w:eastAsia="FangSong" w:cs="FangSong"/>
          <w:kern w:val="2"/>
          <w:sz w:val="32"/>
          <w:szCs w:val="32"/>
          <w:lang w:val="en-US" w:eastAsia="zh-CN" w:bidi="ar-SA"/>
        </w:rPr>
        <w:t>强化企业主体责任，督促企业全面落实安全生产责任制，加强层级监督、检查、指导教育和培训，强化对重点环节、重点单位的监督检查，对所查出的安全隐患问题严格落实台账制度，及时整改。提高监管</w:t>
      </w:r>
      <w:bookmarkStart w:id="0" w:name="_GoBack"/>
      <w:r>
        <w:rPr>
          <w:rFonts w:hint="eastAsia" w:ascii="FangSong" w:hAnsi="FangSong" w:eastAsia="FangSong" w:cs="FangSong"/>
          <w:kern w:val="2"/>
          <w:sz w:val="32"/>
          <w:szCs w:val="32"/>
          <w:lang w:val="en-US" w:eastAsia="zh-CN" w:bidi="ar-SA"/>
        </w:rPr>
        <w:t>领域安全生产检查频次，以常抓不懈的工作模式消除安全隐</w:t>
      </w:r>
      <w:bookmarkEnd w:id="0"/>
      <w:r>
        <w:rPr>
          <w:rFonts w:hint="eastAsia" w:ascii="FangSong" w:hAnsi="FangSong" w:eastAsia="FangSong" w:cs="FangSong"/>
          <w:kern w:val="2"/>
          <w:sz w:val="32"/>
          <w:szCs w:val="32"/>
          <w:lang w:val="en-US" w:eastAsia="zh-CN" w:bidi="ar-SA"/>
        </w:rPr>
        <w:t>患。严格落实行政执法三项制度，及时将行政执法信息在行政执法信息公式平台、法治政府信息平台和双公示平台进行公示，推进规范化、信息化建设。</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FangSong" w:hAnsi="FangSong" w:eastAsia="FangSong" w:cs="FangSong"/>
          <w:kern w:val="2"/>
          <w:sz w:val="32"/>
          <w:szCs w:val="32"/>
          <w:lang w:val="en-US" w:eastAsia="zh-CN" w:bidi="ar-SA"/>
        </w:rPr>
      </w:pP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FangSong" w:hAnsi="FangSong" w:eastAsia="FangSong" w:cs="FangSong"/>
          <w:kern w:val="2"/>
          <w:sz w:val="32"/>
          <w:szCs w:val="32"/>
          <w:lang w:val="en-US" w:eastAsia="zh-CN" w:bidi="ar-SA"/>
        </w:rPr>
      </w:pP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FangSong" w:hAnsi="FangSong" w:eastAsia="FangSong" w:cs="FangSong"/>
          <w:kern w:val="2"/>
          <w:sz w:val="32"/>
          <w:szCs w:val="32"/>
          <w:lang w:val="en-US" w:eastAsia="zh-CN" w:bidi="ar-SA"/>
        </w:rPr>
      </w:pP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center"/>
        <w:textAlignment w:val="auto"/>
        <w:outlineLvl w:val="9"/>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 xml:space="preserve">              平罗县发展和改革局</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center"/>
        <w:textAlignment w:val="auto"/>
        <w:outlineLvl w:val="9"/>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 xml:space="preserve">              2024年2月22日</w:t>
      </w:r>
    </w:p>
    <w:p>
      <w:pPr>
        <w:pStyle w:val="6"/>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FangSong_GB2312" w:hAnsi="FangSong_GB2312" w:eastAsia="FangSong_GB2312" w:cs="FangSong_GB2312"/>
          <w:spacing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FangSong_GB2312" w:hAnsi="FangSong_GB2312" w:eastAsia="FangSong_GB2312" w:cs="FangSong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panose1 w:val="03000509000000000000"/>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KaiTi">
    <w:panose1 w:val="02010609060101010101"/>
    <w:charset w:val="86"/>
    <w:family w:val="auto"/>
    <w:pitch w:val="default"/>
    <w:sig w:usb0="800002BF" w:usb1="38CF7CFA" w:usb2="00000016" w:usb3="00000000" w:csb0="00040001" w:csb1="00000000"/>
  </w:font>
  <w:font w:name="FangSong">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7AE92"/>
    <w:multiLevelType w:val="singleLevel"/>
    <w:tmpl w:val="2BD7AE92"/>
    <w:lvl w:ilvl="0" w:tentative="0">
      <w:start w:val="5"/>
      <w:numFmt w:val="chineseCounting"/>
      <w:suff w:val="nothing"/>
      <w:lvlText w:val="（%1）"/>
      <w:lvlJc w:val="left"/>
      <w:rPr>
        <w:rFonts w:hint="eastAsia"/>
      </w:rPr>
    </w:lvl>
  </w:abstractNum>
  <w:abstractNum w:abstractNumId="1">
    <w:nsid w:val="7A2DE92D"/>
    <w:multiLevelType w:val="singleLevel"/>
    <w:tmpl w:val="7A2DE92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WVkMGQzNzM0MmZkZTUyNzZlYjQ5ODIxZWIzZmMifQ=="/>
  </w:docVars>
  <w:rsids>
    <w:rsidRoot w:val="55A8282C"/>
    <w:rsid w:val="55A8282C"/>
    <w:rsid w:val="5A8E4283"/>
    <w:rsid w:val="61600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character" w:styleId="5">
    <w:name w:val="Strong"/>
    <w:basedOn w:val="4"/>
    <w:autoRedefine/>
    <w:qFormat/>
    <w:uiPriority w:val="0"/>
    <w:rPr>
      <w:b/>
    </w:rPr>
  </w:style>
  <w:style w:type="paragraph" w:customStyle="1" w:styleId="6">
    <w:name w:val="p16"/>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2024-02-22T02:29:00Z</dcterms:created>
  <dc:creator>‍‪‍‪</dc:creator>
  <cp:lastModifiedBy>Administrator</cp:lastModifiedBy>
  <cp:lastPrinted>2024-02-22T07:28:00Z</cp:lastPrinted>
  <dcterms:modified xsi:type="dcterms:W3CDTF">2024-02-22T07:49:58Z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E6E4C3B3BAA24CA3A3A29B73C24C715D_13</vt:lpwstr>
  </property>
</Properties>
</file>